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88R9090 MP-D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Schatzline</w:t>
      </w:r>
      <w:r xml:space="preserve">
        <w:tab wTab="150" tlc="none" cTlc="0"/>
      </w:r>
      <w:r>
        <w:t xml:space="preserve">H.B.</w:t>
      </w:r>
      <w:r xml:space="preserve">
        <w:t> </w:t>
      </w:r>
      <w:r>
        <w:t xml:space="preserve">No.</w:t>
      </w:r>
      <w:r xml:space="preserve">
        <w:t> </w:t>
      </w:r>
      <w:r>
        <w:t xml:space="preserve">1881</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agreements between counties and United States Immigration and Customs Enforcement to enforce federal immigration law.</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Z, Chapter 351, Local Government Code, is amended by adding Section 351.905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351.905.</w:t>
      </w:r>
      <w:r>
        <w:rPr>
          <w:u w:val="single"/>
        </w:rPr>
        <w:t xml:space="preserve"> </w:t>
      </w:r>
      <w:r>
        <w:rPr>
          <w:u w:val="single"/>
        </w:rPr>
        <w:t xml:space="preserve"> </w:t>
      </w:r>
      <w:r>
        <w:rPr>
          <w:u w:val="single"/>
        </w:rPr>
        <w:t xml:space="preserve">IMMIGRATION LAW ENFORCEMENT AGREEMENTS; INJUNCTION; DENIAL OF STATE GRANT FUNDS.  (a) </w:t>
      </w:r>
      <w:r>
        <w:rPr>
          <w:u w:val="single"/>
        </w:rPr>
        <w:t xml:space="preserve"> </w:t>
      </w:r>
      <w:r>
        <w:rPr>
          <w:u w:val="single"/>
        </w:rPr>
        <w:t xml:space="preserve">The commissioners court of each county shall request and, as offered, enter into a written agreement with United States Immigration and Customs Enforcement under Section 287(g), Immigration and Nationality Act (8 U.S.C. Section 1357), to authorize officers and employees of the county to enforce federal immigration law.</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agreement entered into under this section must include the scope, duration, and limitations of the authority.</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attorney general may bring an action against a county that fails to comply with Subsection (a) in a district court in Travis County for appropriate injunctive relief.</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attorney general may recover reasonable expenses incurred in obtaining relief under Subsection (c), including court costs, reasonable attorney's fees, investigative costs, witness fees, and deposition costs.</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 county may not receive state grant funds, and state grant funds for the county shall be denied, for the state fiscal year following the year in which a final judicial determination in an action brought under Subsection (c) is made that the county has failed to comply with Subsection (a).</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The comptroller shall adopt rules to implement Subsection (e) uniformly among the state agencies from which state grant funds are distributed to a county.</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As soon as practicable after the effective date of this Act, the commissioners court of each county shall comply with Section 351.905, Local Government Code, as added by this Act.</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1881</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