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785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ownership of and certain insurance policy provisions regarding the geothermal energy and associated resources below the surface of land.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2703.056, Insurance Code, is amended to read as follows:</w:t>
      </w:r>
    </w:p>
    <w:p w:rsidR="003F3435" w:rsidRDefault="0032493E">
      <w:pPr>
        <w:spacing w:line="480" w:lineRule="auto"/>
        <w:ind w:firstLine="720"/>
        <w:jc w:val="both"/>
      </w:pPr>
      <w:r>
        <w:t xml:space="preserve">Sec.</w:t>
      </w:r>
      <w:r xml:space="preserve">
        <w:t> </w:t>
      </w:r>
      <w:r>
        <w:t xml:space="preserve">2703.056.</w:t>
      </w:r>
      <w:r xml:space="preserve">
        <w:t> </w:t>
      </w:r>
      <w:r xml:space="preserve">
        <w:t> </w:t>
      </w:r>
      <w:r>
        <w:t xml:space="preserve">EXCEPTIONS; MINERAL </w:t>
      </w:r>
      <w:r>
        <w:rPr>
          <w:u w:val="single"/>
        </w:rPr>
        <w:t xml:space="preserve">AND GEOTHERMAL ENERGY</w:t>
      </w:r>
      <w:r>
        <w:t xml:space="preserve"> INTERESTS. </w:t>
      </w:r>
      <w:r>
        <w:t xml:space="preserve"> </w:t>
      </w:r>
      <w:r>
        <w:t xml:space="preserve">(a) </w:t>
      </w:r>
      <w:r>
        <w:t xml:space="preserve"> </w:t>
      </w:r>
      <w:r>
        <w:t xml:space="preserve">Subject to the underwriting standards of the title insurance company, a title insurance company may in a commitment for title insurance or a title insurance policy include a general exception or a special exception to except from coverage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mineral estate </w:t>
      </w:r>
      <w:r>
        <w:rPr>
          <w:u w:val="single"/>
        </w:rPr>
        <w:t xml:space="preserve">or the geothermal energy and associated resources below the surface of the land;</w:t>
      </w:r>
      <w: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an instrument that purports to reserve or transfer all or part of a mineral estate </w:t>
      </w:r>
      <w:r>
        <w:rPr>
          <w:u w:val="single"/>
        </w:rPr>
        <w:t xml:space="preserve">or the geothermal energy and associated resources below the surface of the land</w:t>
      </w:r>
      <w:r>
        <w:t xml:space="preserve">.</w:t>
      </w:r>
    </w:p>
    <w:p w:rsidR="003F3435" w:rsidRDefault="0032493E">
      <w:pPr>
        <w:spacing w:line="480" w:lineRule="auto"/>
        <w:ind w:firstLine="720"/>
        <w:jc w:val="both"/>
      </w:pPr>
      <w:r>
        <w:t xml:space="preserve">(b)</w:t>
      </w:r>
      <w:r xml:space="preserve">
        <w:t> </w:t>
      </w:r>
      <w:r xml:space="preserve">
        <w:t> </w:t>
      </w:r>
      <w:r>
        <w:t xml:space="preserve">A reduction to, or credit on a premium charge for, a policy of title insurance or other insuring form may not be directly or indirectly based on an exclusion of, or general or special exception to, a mineral estate </w:t>
      </w:r>
      <w:r>
        <w:rPr>
          <w:u w:val="single"/>
        </w:rPr>
        <w:t xml:space="preserve">or the geothermal energy and associated resources below the surface of the land</w:t>
      </w:r>
      <w:r>
        <w:t xml:space="preserve"> in the title insurance policy.</w:t>
      </w:r>
    </w:p>
    <w:p w:rsidR="003F3435" w:rsidRDefault="0032493E">
      <w:pPr>
        <w:spacing w:line="480" w:lineRule="auto"/>
        <w:ind w:firstLine="720"/>
        <w:jc w:val="both"/>
      </w:pPr>
      <w:r>
        <w:t xml:space="preserve">(c)</w:t>
      </w:r>
      <w:r xml:space="preserve">
        <w:t> </w:t>
      </w:r>
      <w:r xml:space="preserve">
        <w:t> </w:t>
      </w:r>
      <w:r>
        <w:t xml:space="preserve">The inclusion in a title insurance policy of a general exception or a special exception described by Subsection (a) does not create title insurance coverage as to the condition or ownership of the mineral estate </w:t>
      </w:r>
      <w:r>
        <w:rPr>
          <w:u w:val="single"/>
        </w:rPr>
        <w:t xml:space="preserve">or the geothermal energy and associated resources below the surface of the 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141.003(5),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"By-product" means any other element found in a geothermal formation which is brought to the surface, whether or not it is used in geothermal heat or pressure inducing energy generation.  </w:t>
      </w:r>
      <w:r>
        <w:rPr>
          <w:u w:val="single"/>
        </w:rPr>
        <w:t xml:space="preserve">The term does not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mineral, as defined by Section 75.001, Property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oil, gas, or a product of oil or gas, as defined by Section 85.001.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141, Natural Resources Code, is amended by adding Section 141.004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141.004.</w:t>
      </w:r>
      <w:r>
        <w:rPr>
          <w:u w:val="single"/>
        </w:rPr>
        <w:t xml:space="preserve"> </w:t>
      </w:r>
      <w:r>
        <w:rPr>
          <w:u w:val="single"/>
        </w:rPr>
        <w:t xml:space="preserve"> </w:t>
      </w:r>
      <w:r>
        <w:rPr>
          <w:u w:val="single"/>
        </w:rPr>
        <w:t xml:space="preserve">OWNERSHIP OF GEOTHERMAL ENERGY AND ASSOCIATED RESOURCES.  (a)  Except as otherwise expressly provided by a conveyance, contract, deed, reservation, exception, limitation, lease, or other binding obligation, the geothermal energy and associated resources below the surface of land are owned as real property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landowner;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surface estate and the mineral estate of the land have been severed, the owner of the surface estate of the land.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the provisions of this chapter, the property rights described by this section entitle the owner of the geothermal energy and associated resources below the surface of land and the owner's lessee, heir, or assignee to drill for and produce the geothermal energy and associated resources.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to minerals dissolved or otherwise contained in groundwater, including in hot brines;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change existing law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oil, gas, or mineral extraction regardless of its heat or energy potential;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rights of the dominant and servient estates;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ownership and use of groundwater.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785 passed the Senate on April</w:t>
      </w:r>
      <w:r xml:space="preserve">
        <w:t> </w:t>
      </w:r>
      <w:r>
        <w:t xml:space="preserve">19,</w:t>
      </w:r>
      <w:r xml:space="preserve">
        <w:t> </w:t>
      </w:r>
      <w:r>
        <w:t xml:space="preserve">2023, by the following vote:  Yeas</w:t>
      </w:r>
      <w:r xml:space="preserve">
        <w:t> </w:t>
      </w:r>
      <w:r>
        <w:t xml:space="preserve">30, Nays</w:t>
      </w:r>
      <w:r xml:space="preserve">
        <w:t> </w:t>
      </w:r>
      <w:r>
        <w:t xml:space="preserve">1; and that the Senate concurred in House amendment on May</w:t>
      </w:r>
      <w:r xml:space="preserve">
        <w:t> </w:t>
      </w:r>
      <w:r>
        <w:t xml:space="preserve">25,</w:t>
      </w:r>
      <w:r xml:space="preserve">
        <w:t> </w:t>
      </w:r>
      <w:r>
        <w:t xml:space="preserve">2023, by the following vote:  Yeas</w:t>
      </w:r>
      <w:r xml:space="preserve">
        <w:t> </w:t>
      </w:r>
      <w:r>
        <w:t xml:space="preserve">29, Nays</w:t>
      </w:r>
      <w:r xml:space="preserve">
        <w:t> </w:t>
      </w:r>
      <w:r>
        <w:t xml:space="preserve">1,</w:t>
      </w:r>
      <w:r xml:space="preserve">
        <w:t> </w:t>
      </w:r>
      <w:r>
        <w:t xml:space="preserve">one</w:t>
      </w:r>
      <w:r xml:space="preserve">
        <w:t> </w:t>
      </w:r>
      <w:r>
        <w:t xml:space="preserve">present</w:t>
      </w:r>
      <w:r xml:space="preserve">
        <w:t> </w:t>
      </w:r>
      <w:r>
        <w:t xml:space="preserve">not</w:t>
      </w:r>
      <w:r xml:space="preserve">
        <w:t> </w:t>
      </w:r>
      <w:r>
        <w:t xml:space="preserve">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785 passed the House, with amendment, on May</w:t>
      </w:r>
      <w:r xml:space="preserve">
        <w:t> </w:t>
      </w:r>
      <w:r>
        <w:t xml:space="preserve">23,</w:t>
      </w:r>
      <w:r xml:space="preserve">
        <w:t> </w:t>
      </w:r>
      <w:r>
        <w:t xml:space="preserve">2023, by the following vote:  Yeas</w:t>
      </w:r>
      <w:r xml:space="preserve">
        <w:t> </w:t>
      </w:r>
      <w:r>
        <w:t xml:space="preserve">140, Nays</w:t>
      </w:r>
      <w:r xml:space="preserve">
        <w:t> </w:t>
      </w:r>
      <w:r>
        <w:t xml:space="preserve">0, two</w:t>
      </w:r>
      <w:r xml:space="preserve">
        <w:t> </w:t>
      </w:r>
      <w:r>
        <w:t xml:space="preserve">present</w:t>
      </w:r>
      <w:r xml:space="preserve">
        <w:t> </w:t>
      </w:r>
      <w:r>
        <w:t xml:space="preserve">not</w:t>
      </w:r>
      <w:r xml:space="preserve">
        <w:t> </w:t>
      </w:r>
      <w:r>
        <w:t xml:space="preserve">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