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88R10470 JRR-F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Cortez</w:t>
      </w:r>
      <w:r xml:space="preserve">
        <w:tab wTab="150" tlc="none" cTlc="0"/>
      </w:r>
      <w:r>
        <w:t xml:space="preserve">H.B.</w:t>
      </w:r>
      <w:r xml:space="preserve">
        <w:t> </w:t>
      </w:r>
      <w:r>
        <w:t xml:space="preserve">No.</w:t>
      </w:r>
      <w:r xml:space="preserve">
        <w:t> </w:t>
      </w:r>
      <w:r>
        <w:t xml:space="preserve">2290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eligibility for grants for alternative fueling facilities.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393.004(b), Health and Safety Code, is amended to read as follows:</w:t>
      </w:r>
    </w:p>
    <w:p w:rsidR="003F3435" w:rsidRDefault="0032493E">
      <w:pPr>
        <w:spacing w:line="480" w:lineRule="auto"/>
        <w:ind w:firstLine="720"/>
        <w:jc w:val="both"/>
      </w:pPr>
      <w:r>
        <w:t xml:space="preserve">(b)</w:t>
      </w:r>
      <w:r xml:space="preserve">
        <w:t> </w:t>
      </w:r>
      <w:r xml:space="preserve">
        <w:t> </w:t>
      </w:r>
      <w:r>
        <w:rPr>
          <w:u w:val="single"/>
        </w:rPr>
        <w:t xml:space="preserve">Except as otherwise provided by this subsection, the</w:t>
      </w:r>
      <w:r>
        <w:t xml:space="preserve"> [</w:t>
      </w:r>
      <w:r>
        <w:rPr>
          <w:strike/>
        </w:rPr>
        <w:t xml:space="preserve">The</w:t>
      </w:r>
      <w:r>
        <w:t xml:space="preserve">] prioritization criteria established under Subsection (a) must provide that, for each grant round, the commission may not award a grant to an entity that does not agree to make the alternative fueling facility accessible and available to the public at times designated by the grant contract until each eligible entity that does agree to those terms has been awarded a grant. </w:t>
      </w:r>
      <w:r>
        <w:t xml:space="preserve"> </w:t>
      </w:r>
      <w:r>
        <w:rPr>
          <w:u w:val="single"/>
        </w:rPr>
        <w:t xml:space="preserve">The prohibition imposed by this subsection does not apply to a facility that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owned or operated by a transit authority governed by Chapter 451 or 452, Transportation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located in a county that has a population of more than one million;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located in a nonattainment area or an affected county, as those terms are defined by Section 386.001.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 grant round that begins on or after the effective date of this Act.  A grant round that began before the effective date of this Act is governed by the law in effect on the date the grant round began,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2290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