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E38B3" w14:paraId="0A9FED2F" w14:textId="77777777" w:rsidTr="00345119">
        <w:tc>
          <w:tcPr>
            <w:tcW w:w="9576" w:type="dxa"/>
            <w:noWrap/>
          </w:tcPr>
          <w:p w14:paraId="6035CA54" w14:textId="77777777" w:rsidR="008423E4" w:rsidRPr="0022177D" w:rsidRDefault="00061E06" w:rsidP="006822A1">
            <w:pPr>
              <w:pStyle w:val="Heading1"/>
              <w:mirrorIndents/>
            </w:pPr>
            <w:r w:rsidRPr="00631897">
              <w:t>BILL ANALYSIS</w:t>
            </w:r>
          </w:p>
        </w:tc>
      </w:tr>
    </w:tbl>
    <w:p w14:paraId="345AD06F" w14:textId="77777777" w:rsidR="008423E4" w:rsidRPr="00077CDC" w:rsidRDefault="008423E4" w:rsidP="006822A1">
      <w:pPr>
        <w:mirrorIndents/>
        <w:jc w:val="center"/>
        <w:rPr>
          <w:sz w:val="20"/>
          <w:szCs w:val="20"/>
        </w:rPr>
      </w:pPr>
    </w:p>
    <w:p w14:paraId="1AFAFA2F" w14:textId="77777777" w:rsidR="008423E4" w:rsidRPr="00077CDC" w:rsidRDefault="008423E4" w:rsidP="006822A1">
      <w:pPr>
        <w:mirrorIndents/>
        <w:rPr>
          <w:sz w:val="20"/>
          <w:szCs w:val="20"/>
        </w:rPr>
      </w:pPr>
    </w:p>
    <w:p w14:paraId="295C97F8" w14:textId="77777777" w:rsidR="008423E4" w:rsidRPr="00077CDC" w:rsidRDefault="008423E4" w:rsidP="006822A1">
      <w:pPr>
        <w:tabs>
          <w:tab w:val="right" w:pos="9360"/>
        </w:tabs>
        <w:mirrorIndents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E38B3" w14:paraId="65A817C1" w14:textId="77777777" w:rsidTr="00345119">
        <w:tc>
          <w:tcPr>
            <w:tcW w:w="9576" w:type="dxa"/>
          </w:tcPr>
          <w:p w14:paraId="603ED617" w14:textId="12901CE5" w:rsidR="008423E4" w:rsidRPr="00861995" w:rsidRDefault="00061E06" w:rsidP="006822A1">
            <w:pPr>
              <w:mirrorIndents/>
              <w:jc w:val="right"/>
            </w:pPr>
            <w:r>
              <w:t>H.B. 3352</w:t>
            </w:r>
          </w:p>
        </w:tc>
      </w:tr>
      <w:tr w:rsidR="001E38B3" w14:paraId="43625658" w14:textId="77777777" w:rsidTr="00345119">
        <w:tc>
          <w:tcPr>
            <w:tcW w:w="9576" w:type="dxa"/>
          </w:tcPr>
          <w:p w14:paraId="7CA43A6D" w14:textId="3F0CEBE6" w:rsidR="008423E4" w:rsidRPr="00861995" w:rsidRDefault="00061E06" w:rsidP="006822A1">
            <w:pPr>
              <w:mirrorIndents/>
              <w:jc w:val="right"/>
            </w:pPr>
            <w:r>
              <w:t xml:space="preserve">By: </w:t>
            </w:r>
            <w:r w:rsidR="00E24DDF">
              <w:t>Gerdes</w:t>
            </w:r>
          </w:p>
        </w:tc>
      </w:tr>
      <w:tr w:rsidR="001E38B3" w14:paraId="799CC50B" w14:textId="77777777" w:rsidTr="00345119">
        <w:tc>
          <w:tcPr>
            <w:tcW w:w="9576" w:type="dxa"/>
          </w:tcPr>
          <w:p w14:paraId="2E97336E" w14:textId="46C715FA" w:rsidR="008423E4" w:rsidRPr="00861995" w:rsidRDefault="00061E06" w:rsidP="006822A1">
            <w:pPr>
              <w:mirrorIndents/>
              <w:jc w:val="right"/>
            </w:pPr>
            <w:r>
              <w:t>Environmental Regulation</w:t>
            </w:r>
          </w:p>
        </w:tc>
      </w:tr>
      <w:tr w:rsidR="001E38B3" w14:paraId="51C32391" w14:textId="77777777" w:rsidTr="00345119">
        <w:tc>
          <w:tcPr>
            <w:tcW w:w="9576" w:type="dxa"/>
          </w:tcPr>
          <w:p w14:paraId="0E403F25" w14:textId="12BF1BD4" w:rsidR="008423E4" w:rsidRDefault="00061E06" w:rsidP="006822A1">
            <w:pPr>
              <w:mirrorIndents/>
              <w:jc w:val="right"/>
            </w:pPr>
            <w:r>
              <w:t>Committee Report (Unamended)</w:t>
            </w:r>
          </w:p>
        </w:tc>
      </w:tr>
    </w:tbl>
    <w:p w14:paraId="46384333" w14:textId="77777777" w:rsidR="008423E4" w:rsidRPr="00077CDC" w:rsidRDefault="008423E4" w:rsidP="006822A1">
      <w:pPr>
        <w:tabs>
          <w:tab w:val="right" w:pos="9360"/>
        </w:tabs>
        <w:mirrorIndents/>
        <w:rPr>
          <w:sz w:val="20"/>
          <w:szCs w:val="20"/>
        </w:rPr>
      </w:pPr>
    </w:p>
    <w:p w14:paraId="7776C6FA" w14:textId="77777777" w:rsidR="008423E4" w:rsidRPr="00077CDC" w:rsidRDefault="008423E4" w:rsidP="006822A1">
      <w:pPr>
        <w:mirrorIndents/>
        <w:rPr>
          <w:sz w:val="20"/>
          <w:szCs w:val="20"/>
        </w:rPr>
      </w:pPr>
    </w:p>
    <w:p w14:paraId="22BC61A7" w14:textId="77777777" w:rsidR="008423E4" w:rsidRPr="00077CDC" w:rsidRDefault="008423E4" w:rsidP="006822A1">
      <w:pPr>
        <w:mirrorIndents/>
        <w:rPr>
          <w:sz w:val="20"/>
          <w:szCs w:val="20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1E38B3" w14:paraId="6351CF81" w14:textId="77777777" w:rsidTr="00345119">
        <w:tc>
          <w:tcPr>
            <w:tcW w:w="9576" w:type="dxa"/>
          </w:tcPr>
          <w:p w14:paraId="2FFB0ED3" w14:textId="77777777" w:rsidR="008423E4" w:rsidRPr="00A8133F" w:rsidRDefault="00061E06" w:rsidP="006822A1">
            <w:pPr>
              <w:mirrorIndents/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D746F3F" w14:textId="77777777" w:rsidR="008423E4" w:rsidRDefault="008423E4" w:rsidP="006822A1">
            <w:pPr>
              <w:mirrorIndents/>
            </w:pPr>
          </w:p>
          <w:p w14:paraId="06DC9F61" w14:textId="763A3656" w:rsidR="008423E4" w:rsidRDefault="00061E06" w:rsidP="006822A1">
            <w:pPr>
              <w:pStyle w:val="Header"/>
              <w:tabs>
                <w:tab w:val="clear" w:pos="4320"/>
                <w:tab w:val="clear" w:pos="8640"/>
              </w:tabs>
              <w:mirrorIndents/>
              <w:jc w:val="both"/>
            </w:pPr>
            <w:r>
              <w:t xml:space="preserve">There's been an </w:t>
            </w:r>
            <w:r w:rsidR="0037120F">
              <w:t xml:space="preserve">increase in </w:t>
            </w:r>
            <w:r>
              <w:t xml:space="preserve">the </w:t>
            </w:r>
            <w:r w:rsidR="0037120F">
              <w:t>illegal dumping of used and scrap tires in rural communities</w:t>
            </w:r>
            <w:r>
              <w:t xml:space="preserve">, </w:t>
            </w:r>
            <w:r w:rsidR="0037120F">
              <w:t>creat</w:t>
            </w:r>
            <w:r>
              <w:t>ing</w:t>
            </w:r>
            <w:r w:rsidR="0037120F">
              <w:t xml:space="preserve"> local environmental concerns</w:t>
            </w:r>
            <w:r>
              <w:t xml:space="preserve"> and </w:t>
            </w:r>
            <w:r w:rsidR="0037120F">
              <w:t xml:space="preserve">burdening county road crews. County </w:t>
            </w:r>
            <w:r>
              <w:t>c</w:t>
            </w:r>
            <w:r w:rsidR="0037120F">
              <w:t>ommissioners from across House District 17 have passed resolutions requesting that the state assist them in dealing with this issue.</w:t>
            </w:r>
            <w:r w:rsidR="00CB61C0">
              <w:t xml:space="preserve"> </w:t>
            </w:r>
            <w:r w:rsidR="0037120F">
              <w:t>H</w:t>
            </w:r>
            <w:r>
              <w:t>.</w:t>
            </w:r>
            <w:r w:rsidR="0037120F">
              <w:t>B</w:t>
            </w:r>
            <w:r>
              <w:t>.</w:t>
            </w:r>
            <w:r w:rsidR="0037120F">
              <w:t xml:space="preserve"> 3352</w:t>
            </w:r>
            <w:r>
              <w:t xml:space="preserve"> seeks to address this issue by </w:t>
            </w:r>
            <w:r w:rsidRPr="002654B5">
              <w:t>authoriz</w:t>
            </w:r>
            <w:r>
              <w:t>ing</w:t>
            </w:r>
            <w:r w:rsidRPr="002654B5">
              <w:t xml:space="preserve"> the commissioners court of a county with a population of 150,000 or less to establish and enforce a program requiring a</w:t>
            </w:r>
            <w:r w:rsidR="00CB61C0">
              <w:t xml:space="preserve"> tire</w:t>
            </w:r>
            <w:r w:rsidRPr="002654B5">
              <w:t xml:space="preserve"> generator to mark used or scrap tires</w:t>
            </w:r>
            <w:r>
              <w:t xml:space="preserve"> </w:t>
            </w:r>
            <w:r w:rsidR="0037120F">
              <w:t>so</w:t>
            </w:r>
            <w:r>
              <w:t xml:space="preserve"> that</w:t>
            </w:r>
            <w:r w:rsidR="0037120F">
              <w:t xml:space="preserve"> bad actors can be easily identified</w:t>
            </w:r>
            <w:r>
              <w:t xml:space="preserve"> through </w:t>
            </w:r>
            <w:r w:rsidRPr="002654B5">
              <w:t>unique identifying mar</w:t>
            </w:r>
            <w:r>
              <w:t>ks</w:t>
            </w:r>
            <w:r w:rsidR="00CB61C0">
              <w:t>.</w:t>
            </w:r>
          </w:p>
          <w:p w14:paraId="58DAF765" w14:textId="77777777" w:rsidR="008423E4" w:rsidRPr="00E26B13" w:rsidRDefault="008423E4" w:rsidP="006822A1">
            <w:pPr>
              <w:mirrorIndents/>
              <w:rPr>
                <w:b/>
              </w:rPr>
            </w:pPr>
          </w:p>
        </w:tc>
      </w:tr>
      <w:tr w:rsidR="001E38B3" w14:paraId="190E5FFA" w14:textId="77777777" w:rsidTr="00345119">
        <w:tc>
          <w:tcPr>
            <w:tcW w:w="9576" w:type="dxa"/>
          </w:tcPr>
          <w:p w14:paraId="549284B1" w14:textId="77777777" w:rsidR="0017725B" w:rsidRDefault="00061E06" w:rsidP="006822A1">
            <w:pPr>
              <w:mirrorIndents/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</w:t>
            </w:r>
            <w:r>
              <w:rPr>
                <w:b/>
                <w:u w:val="single"/>
              </w:rPr>
              <w:t>TICE IMPACT</w:t>
            </w:r>
          </w:p>
          <w:p w14:paraId="13F96BAC" w14:textId="77777777" w:rsidR="0017725B" w:rsidRDefault="0017725B" w:rsidP="006822A1">
            <w:pPr>
              <w:mirrorIndents/>
              <w:rPr>
                <w:b/>
                <w:u w:val="single"/>
              </w:rPr>
            </w:pPr>
          </w:p>
          <w:p w14:paraId="541E5E72" w14:textId="2C1A2058" w:rsidR="00EC2C49" w:rsidRPr="00EC2C49" w:rsidRDefault="00061E06" w:rsidP="006822A1">
            <w:pPr>
              <w:mirrorIndents/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</w:t>
            </w:r>
            <w:r>
              <w:t>e, or mandatory supervision.</w:t>
            </w:r>
          </w:p>
          <w:p w14:paraId="54F012CF" w14:textId="77777777" w:rsidR="0017725B" w:rsidRPr="0017725B" w:rsidRDefault="0017725B" w:rsidP="006822A1">
            <w:pPr>
              <w:mirrorIndents/>
              <w:rPr>
                <w:b/>
                <w:u w:val="single"/>
              </w:rPr>
            </w:pPr>
          </w:p>
        </w:tc>
      </w:tr>
      <w:tr w:rsidR="001E38B3" w14:paraId="5B4CEB95" w14:textId="77777777" w:rsidTr="00345119">
        <w:tc>
          <w:tcPr>
            <w:tcW w:w="9576" w:type="dxa"/>
          </w:tcPr>
          <w:p w14:paraId="5784A5F4" w14:textId="77777777" w:rsidR="008423E4" w:rsidRPr="00A8133F" w:rsidRDefault="00061E06" w:rsidP="006822A1">
            <w:pPr>
              <w:mirrorIndents/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6DF5AF5" w14:textId="77777777" w:rsidR="008423E4" w:rsidRDefault="008423E4" w:rsidP="006822A1">
            <w:pPr>
              <w:mirrorIndents/>
            </w:pPr>
          </w:p>
          <w:p w14:paraId="0BFBCBE2" w14:textId="55C95DE0" w:rsidR="00EC2C49" w:rsidRDefault="00061E06" w:rsidP="006822A1">
            <w:pPr>
              <w:pStyle w:val="Header"/>
              <w:tabs>
                <w:tab w:val="clear" w:pos="4320"/>
                <w:tab w:val="clear" w:pos="8640"/>
              </w:tabs>
              <w:mirrorIndents/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55954A36" w14:textId="77777777" w:rsidR="008423E4" w:rsidRPr="00E21FDC" w:rsidRDefault="008423E4" w:rsidP="006822A1">
            <w:pPr>
              <w:mirrorIndents/>
              <w:rPr>
                <w:b/>
              </w:rPr>
            </w:pPr>
          </w:p>
        </w:tc>
      </w:tr>
      <w:tr w:rsidR="001E38B3" w14:paraId="4DF18BF0" w14:textId="77777777" w:rsidTr="00345119">
        <w:tc>
          <w:tcPr>
            <w:tcW w:w="9576" w:type="dxa"/>
          </w:tcPr>
          <w:p w14:paraId="30F69789" w14:textId="77777777" w:rsidR="008423E4" w:rsidRPr="00A8133F" w:rsidRDefault="00061E06" w:rsidP="006822A1">
            <w:pPr>
              <w:mirrorIndents/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F202587" w14:textId="77777777" w:rsidR="008423E4" w:rsidRDefault="008423E4" w:rsidP="006822A1">
            <w:pPr>
              <w:mirrorIndents/>
            </w:pPr>
          </w:p>
          <w:p w14:paraId="0F4CA62E" w14:textId="0699D0E5" w:rsidR="009C36CD" w:rsidRDefault="00061E06" w:rsidP="006822A1">
            <w:pPr>
              <w:pStyle w:val="Header"/>
              <w:tabs>
                <w:tab w:val="clear" w:pos="4320"/>
                <w:tab w:val="clear" w:pos="8640"/>
              </w:tabs>
              <w:mirrorIndents/>
              <w:jc w:val="both"/>
            </w:pPr>
            <w:r>
              <w:t xml:space="preserve">H.B. 3352 amends the </w:t>
            </w:r>
            <w:r w:rsidRPr="00EC2C49">
              <w:t>Health and Safety Code</w:t>
            </w:r>
            <w:r>
              <w:t xml:space="preserve"> to authorize </w:t>
            </w:r>
            <w:r w:rsidR="006434B2">
              <w:t>the</w:t>
            </w:r>
            <w:r>
              <w:t xml:space="preserve"> commissioners court of a county with a population of 150,000 or less to establish and </w:t>
            </w:r>
            <w:r w:rsidRPr="00EC2C49">
              <w:t>enforce a program requiring a generator</w:t>
            </w:r>
            <w:r w:rsidR="006434B2">
              <w:t xml:space="preserve">, </w:t>
            </w:r>
            <w:r w:rsidR="006434B2" w:rsidRPr="006434B2">
              <w:t>includ</w:t>
            </w:r>
            <w:r w:rsidR="0068067F">
              <w:t>ing</w:t>
            </w:r>
            <w:r w:rsidR="006434B2" w:rsidRPr="006434B2">
              <w:t xml:space="preserve"> a fleet operator, an automotive dismantler, a tire recapper or retreader, or a retailer, wholesaler, or manufacturer of whole new or used tires</w:t>
            </w:r>
            <w:r w:rsidR="0068067F">
              <w:t>,</w:t>
            </w:r>
            <w:r w:rsidRPr="00EC2C49">
              <w:t xml:space="preserve"> to mark used or scrap tires</w:t>
            </w:r>
            <w:r w:rsidR="0068067F">
              <w:t xml:space="preserve">. </w:t>
            </w:r>
            <w:r w:rsidR="00B21FB4">
              <w:t xml:space="preserve">The bill requires such a program to </w:t>
            </w:r>
            <w:r w:rsidR="0068067F">
              <w:t>do the following</w:t>
            </w:r>
            <w:r w:rsidR="00B21FB4">
              <w:t>:</w:t>
            </w:r>
          </w:p>
          <w:p w14:paraId="1658C34F" w14:textId="63289FD1" w:rsidR="00B21FB4" w:rsidRDefault="00061E06" w:rsidP="006822A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mirrorIndents/>
              <w:jc w:val="both"/>
            </w:pPr>
            <w:r w:rsidRPr="00B21FB4">
              <w:t>assign to each generator a unique identifying mark required to be affixed to</w:t>
            </w:r>
            <w:r w:rsidR="00AC1F12">
              <w:t>,</w:t>
            </w:r>
            <w:r w:rsidRPr="00B21FB4">
              <w:t xml:space="preserve"> or impri</w:t>
            </w:r>
            <w:r w:rsidRPr="00B21FB4">
              <w:t>nted on each scrap or used tire taken possession of or produced by the generator;</w:t>
            </w:r>
          </w:p>
          <w:p w14:paraId="03370C99" w14:textId="4835D322" w:rsidR="00B21FB4" w:rsidRDefault="00061E06" w:rsidP="006822A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mirrorIndents/>
              <w:jc w:val="both"/>
            </w:pPr>
            <w:r w:rsidRPr="00B21FB4">
              <w:t>allow a customer to retain a scrap or used tire removed from the customer's vehicle during the purchase of a tire from a retailer;</w:t>
            </w:r>
          </w:p>
          <w:p w14:paraId="53F19658" w14:textId="65EF03F1" w:rsidR="00B21FB4" w:rsidRDefault="00061E06" w:rsidP="006822A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mirrorIndents/>
              <w:jc w:val="both"/>
            </w:pPr>
            <w:r w:rsidRPr="00B21FB4">
              <w:t>require a retailer whose customer retains a</w:t>
            </w:r>
            <w:r w:rsidRPr="00B21FB4">
              <w:t xml:space="preserve"> scrap or used tire to keep a record of the customer's retention; and</w:t>
            </w:r>
          </w:p>
          <w:p w14:paraId="1D771CA1" w14:textId="0CBE5E37" w:rsidR="00B21FB4" w:rsidRDefault="00061E06" w:rsidP="006822A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mirrorIndents/>
              <w:jc w:val="both"/>
            </w:pPr>
            <w:r w:rsidRPr="00B21FB4">
              <w:t>include a system to inspect generators for compliance.</w:t>
            </w:r>
          </w:p>
          <w:p w14:paraId="24ACEBD3" w14:textId="77777777" w:rsidR="0068067F" w:rsidRDefault="00061E06" w:rsidP="006822A1">
            <w:pPr>
              <w:pStyle w:val="Header"/>
              <w:tabs>
                <w:tab w:val="clear" w:pos="4320"/>
                <w:tab w:val="clear" w:pos="8640"/>
              </w:tabs>
              <w:mirrorIndents/>
              <w:jc w:val="both"/>
            </w:pPr>
            <w:r>
              <w:t xml:space="preserve">The bill specifies that a generator </w:t>
            </w:r>
            <w:r w:rsidRPr="00EC2C49">
              <w:t>does not include a scrap tire energy recovery facility or a scrap tire recycling facility</w:t>
            </w:r>
            <w:r>
              <w:t xml:space="preserve"> and d</w:t>
            </w:r>
            <w:r>
              <w:t xml:space="preserve">efines the following terms: </w:t>
            </w:r>
          </w:p>
          <w:p w14:paraId="78F9D99F" w14:textId="0ED98F6E" w:rsidR="0068067F" w:rsidRDefault="00061E06" w:rsidP="006822A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mirrorIndents/>
              <w:jc w:val="both"/>
            </w:pPr>
            <w:r>
              <w:t xml:space="preserve">"scrap tire" as </w:t>
            </w:r>
            <w:r w:rsidRPr="0068067F">
              <w:t>a tire that can no longer be used for its original intended purpose</w:t>
            </w:r>
            <w:r>
              <w:t xml:space="preserve">, but excluding </w:t>
            </w:r>
            <w:r w:rsidR="00C95673">
              <w:t xml:space="preserve">a tire in or on a vehicle that has been crushed or is being transported to a </w:t>
            </w:r>
            <w:r w:rsidR="00C95673" w:rsidRPr="00D97822">
              <w:t>registered metal recycling entity or a licensed used automotive parts recycler or</w:t>
            </w:r>
            <w:r w:rsidR="00C95673">
              <w:t xml:space="preserve"> </w:t>
            </w:r>
            <w:r w:rsidR="00C95673" w:rsidRPr="00D97822">
              <w:t>that is mounted on a metal wheel that is intended to be recycled</w:t>
            </w:r>
            <w:r w:rsidR="00C95673">
              <w:t>; and</w:t>
            </w:r>
          </w:p>
          <w:p w14:paraId="7E311248" w14:textId="2887FFC6" w:rsidR="00B21FB4" w:rsidRDefault="00061E06" w:rsidP="006822A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mirrorIndents/>
              <w:jc w:val="both"/>
            </w:pPr>
            <w:r>
              <w:t>"</w:t>
            </w:r>
            <w:r w:rsidR="00D97822">
              <w:t>used tire</w:t>
            </w:r>
            <w:r>
              <w:t>"</w:t>
            </w:r>
            <w:r w:rsidR="00D97822">
              <w:t xml:space="preserve"> as a tire that has been used on a vehicle, trailer</w:t>
            </w:r>
            <w:r w:rsidR="00BB5C50">
              <w:t>,</w:t>
            </w:r>
            <w:r w:rsidR="00D97822">
              <w:t xml:space="preserve"> or piece of equipment, has tire tread at least one-sixteenth inch deep</w:t>
            </w:r>
            <w:r w:rsidR="00C95673">
              <w:t>,</w:t>
            </w:r>
            <w:r w:rsidR="00D97822">
              <w:t xml:space="preserve"> can still be used for its original intended purpose</w:t>
            </w:r>
            <w:r w:rsidR="00C95673">
              <w:t xml:space="preserve">, and </w:t>
            </w:r>
            <w:r w:rsidR="00C95673" w:rsidRPr="00C95673">
              <w:t>meets the visual and tread depth requirements for used tires established by the Department of Public Safety</w:t>
            </w:r>
            <w:r w:rsidR="00C95673">
              <w:t>.</w:t>
            </w:r>
          </w:p>
          <w:p w14:paraId="0A8FE930" w14:textId="77777777" w:rsidR="008423E4" w:rsidRPr="00835628" w:rsidRDefault="008423E4" w:rsidP="006822A1">
            <w:pPr>
              <w:mirrorIndents/>
              <w:rPr>
                <w:b/>
              </w:rPr>
            </w:pPr>
          </w:p>
        </w:tc>
      </w:tr>
      <w:tr w:rsidR="001E38B3" w14:paraId="311868FC" w14:textId="77777777" w:rsidTr="00345119">
        <w:tc>
          <w:tcPr>
            <w:tcW w:w="9576" w:type="dxa"/>
          </w:tcPr>
          <w:p w14:paraId="46924430" w14:textId="77777777" w:rsidR="008423E4" w:rsidRPr="00A8133F" w:rsidRDefault="00061E06" w:rsidP="006822A1">
            <w:pPr>
              <w:mirrorIndents/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44EC2A5" w14:textId="77777777" w:rsidR="008423E4" w:rsidRDefault="008423E4" w:rsidP="006822A1">
            <w:pPr>
              <w:mirrorIndents/>
            </w:pPr>
          </w:p>
          <w:p w14:paraId="0C8E32A6" w14:textId="2923487C" w:rsidR="008423E4" w:rsidRPr="003624F2" w:rsidRDefault="00061E06" w:rsidP="006822A1">
            <w:pPr>
              <w:pStyle w:val="Header"/>
              <w:tabs>
                <w:tab w:val="clear" w:pos="4320"/>
                <w:tab w:val="clear" w:pos="8640"/>
              </w:tabs>
              <w:mirrorIndents/>
              <w:jc w:val="both"/>
            </w:pPr>
            <w:r>
              <w:t>September 1, 2023.</w:t>
            </w:r>
          </w:p>
          <w:p w14:paraId="4639C3C6" w14:textId="77777777" w:rsidR="008423E4" w:rsidRPr="00233FDB" w:rsidRDefault="008423E4" w:rsidP="006822A1">
            <w:pPr>
              <w:mirrorIndents/>
              <w:rPr>
                <w:b/>
              </w:rPr>
            </w:pPr>
          </w:p>
        </w:tc>
      </w:tr>
    </w:tbl>
    <w:p w14:paraId="10804E29" w14:textId="77777777" w:rsidR="008423E4" w:rsidRPr="00BE0E75" w:rsidRDefault="008423E4" w:rsidP="006822A1">
      <w:pPr>
        <w:mirrorIndents/>
        <w:jc w:val="both"/>
        <w:rPr>
          <w:rFonts w:ascii="Arial" w:hAnsi="Arial"/>
          <w:sz w:val="16"/>
          <w:szCs w:val="16"/>
        </w:rPr>
      </w:pPr>
    </w:p>
    <w:p w14:paraId="254340BB" w14:textId="77777777" w:rsidR="004108C3" w:rsidRPr="008423E4" w:rsidRDefault="004108C3" w:rsidP="006822A1">
      <w:pPr>
        <w:mirrorIndents/>
      </w:pPr>
    </w:p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1695" w14:textId="77777777" w:rsidR="00000000" w:rsidRDefault="00061E06">
      <w:r>
        <w:separator/>
      </w:r>
    </w:p>
  </w:endnote>
  <w:endnote w:type="continuationSeparator" w:id="0">
    <w:p w14:paraId="38E1247A" w14:textId="77777777" w:rsidR="00000000" w:rsidRDefault="0006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BFCF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E38B3" w14:paraId="1617C62C" w14:textId="77777777" w:rsidTr="009C1E9A">
      <w:trPr>
        <w:cantSplit/>
      </w:trPr>
      <w:tc>
        <w:tcPr>
          <w:tcW w:w="0" w:type="pct"/>
        </w:tcPr>
        <w:p w14:paraId="632DDC4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1686A1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DBA7CBF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650926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C0DBCF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E38B3" w14:paraId="4355463E" w14:textId="77777777" w:rsidTr="009C1E9A">
      <w:trPr>
        <w:cantSplit/>
      </w:trPr>
      <w:tc>
        <w:tcPr>
          <w:tcW w:w="0" w:type="pct"/>
        </w:tcPr>
        <w:p w14:paraId="291A496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07F79FD" w14:textId="2BDE97B6" w:rsidR="00EC379B" w:rsidRPr="009C1E9A" w:rsidRDefault="00061E0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 xml:space="preserve">88R </w:t>
          </w:r>
          <w:r>
            <w:rPr>
              <w:rFonts w:ascii="Shruti" w:hAnsi="Shruti"/>
              <w:sz w:val="22"/>
            </w:rPr>
            <w:t>25274-D</w:t>
          </w:r>
        </w:p>
      </w:tc>
      <w:tc>
        <w:tcPr>
          <w:tcW w:w="2453" w:type="pct"/>
        </w:tcPr>
        <w:p w14:paraId="6577E33B" w14:textId="50F714DC" w:rsidR="00EC379B" w:rsidRDefault="00061E0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6822A1">
            <w:t>23.113.101</w:t>
          </w:r>
          <w:r>
            <w:fldChar w:fldCharType="end"/>
          </w:r>
        </w:p>
      </w:tc>
    </w:tr>
    <w:tr w:rsidR="001E38B3" w14:paraId="02223064" w14:textId="77777777" w:rsidTr="009C1E9A">
      <w:trPr>
        <w:cantSplit/>
      </w:trPr>
      <w:tc>
        <w:tcPr>
          <w:tcW w:w="0" w:type="pct"/>
        </w:tcPr>
        <w:p w14:paraId="3974A35F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AAC4E1A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4F3D0613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31EDD7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E38B3" w14:paraId="089E2271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4A71503" w14:textId="77777777" w:rsidR="00EC379B" w:rsidRDefault="00061E0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8DE062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359C0598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9590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3884" w14:textId="77777777" w:rsidR="00000000" w:rsidRDefault="00061E06">
      <w:r>
        <w:separator/>
      </w:r>
    </w:p>
  </w:footnote>
  <w:footnote w:type="continuationSeparator" w:id="0">
    <w:p w14:paraId="16F64305" w14:textId="77777777" w:rsidR="00000000" w:rsidRDefault="0006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1532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0050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8AA4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C5007"/>
    <w:multiLevelType w:val="hybridMultilevel"/>
    <w:tmpl w:val="B2B8BD24"/>
    <w:lvl w:ilvl="0" w:tplc="89BED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F83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8D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6E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E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6D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6A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6C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AD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E4D49"/>
    <w:multiLevelType w:val="hybridMultilevel"/>
    <w:tmpl w:val="4754E6F2"/>
    <w:lvl w:ilvl="0" w:tplc="AF26D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0B5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AE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43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2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44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80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47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05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0478">
    <w:abstractNumId w:val="0"/>
  </w:num>
  <w:num w:numId="2" w16cid:durableId="32987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49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785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1E06"/>
    <w:rsid w:val="00064BF2"/>
    <w:rsid w:val="000667BA"/>
    <w:rsid w:val="000676A7"/>
    <w:rsid w:val="00073914"/>
    <w:rsid w:val="00074236"/>
    <w:rsid w:val="000746BD"/>
    <w:rsid w:val="00076D7D"/>
    <w:rsid w:val="00077CDC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38B3"/>
    <w:rsid w:val="001E4070"/>
    <w:rsid w:val="001E655E"/>
    <w:rsid w:val="001F3CB8"/>
    <w:rsid w:val="001F6B91"/>
    <w:rsid w:val="001F703C"/>
    <w:rsid w:val="00200B9E"/>
    <w:rsid w:val="00200BF5"/>
    <w:rsid w:val="00200F43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4B5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0F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28C0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4D73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2DE8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34B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067F"/>
    <w:rsid w:val="0068127E"/>
    <w:rsid w:val="00681790"/>
    <w:rsid w:val="006822A1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3599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AD5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1F1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1FB4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B5C50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118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2B36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6C03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673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61C0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019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0C19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822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4DDF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2C49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0FBE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D9186F-6CE3-4213-BA70-C95C857E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C2C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2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2C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2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2C49"/>
    <w:rPr>
      <w:b/>
      <w:bCs/>
    </w:rPr>
  </w:style>
  <w:style w:type="paragraph" w:styleId="Revision">
    <w:name w:val="Revision"/>
    <w:hidden/>
    <w:uiPriority w:val="99"/>
    <w:semiHidden/>
    <w:rsid w:val="006434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2444</Characters>
  <Application>Microsoft Office Word</Application>
  <DocSecurity>4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HB03352 (Committee Report (Unamended))</vt:lpstr>
    </vt:vector>
  </TitlesOfParts>
  <Company>State of Texas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25274</dc:subject>
  <dc:creator>State of Texas</dc:creator>
  <dc:description>HB 3352 by Gerdes-(H)Environmental Regulation</dc:description>
  <cp:lastModifiedBy>Stacey Nicchio</cp:lastModifiedBy>
  <cp:revision>2</cp:revision>
  <cp:lastPrinted>2003-11-26T17:21:00Z</cp:lastPrinted>
  <dcterms:created xsi:type="dcterms:W3CDTF">2023-04-27T21:25:00Z</dcterms:created>
  <dcterms:modified xsi:type="dcterms:W3CDTF">2023-04-27T21:25:00Z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23.113.101</vt:lpwstr>
  </property>
</Properties>
</file>