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89R2952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H.B.</w:t>
      </w:r>
      <w:r xml:space="preserve">
        <w:t> </w:t>
      </w:r>
      <w:r>
        <w:t xml:space="preserve">No.</w:t>
      </w:r>
      <w:r xml:space="preserve">
        <w:t> </w:t>
      </w:r>
      <w:r>
        <w:t xml:space="preserve">1654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employment of certain peace officers, detention officers, county jailers, or firefighters who are injured in the course and scope of duty.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614, Government Code, is amended by adding Subchapter N to read as follows:</w:t>
      </w:r>
    </w:p>
    <w:p w:rsidR="003F3435" w:rsidRDefault="0032493E">
      <w:pPr>
        <w:spacing w:line="480" w:lineRule="auto"/>
        <w:jc w:val="center"/>
      </w:pPr>
      <w:r>
        <w:rPr>
          <w:u w:val="single"/>
        </w:rPr>
        <w:t xml:space="preserve">SUBCHAPTER N.  RESTRICTION ON DISCHARGE AFTER CERTAIN INJURIES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614.251.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"County jailer"</w:t>
      </w:r>
      <w:r>
        <w:rPr>
          <w:u w:val="single"/>
        </w:rPr>
        <w:t xml:space="preserve"> </w:t>
      </w:r>
      <w:r>
        <w:rPr>
          <w:u w:val="single"/>
        </w:rPr>
        <w:t xml:space="preserve">has the meaning assigned by Section 1701.001, Occupations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"Detention officer"</w:t>
      </w:r>
      <w:r>
        <w:rPr>
          <w:u w:val="single"/>
        </w:rPr>
        <w:t xml:space="preserve"> </w:t>
      </w:r>
      <w:r>
        <w:rPr>
          <w:u w:val="single"/>
        </w:rPr>
        <w:t xml:space="preserve">has the meaning assigned by Section 411.048(a).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"Employer" means a governmental entity that appoints or employs a peace officer, detention officer, county jailer, or firefighter or that an officer, jailer, or firefighter is elected to serve.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"Firefighter" means a member of a fire department who performs a function listed in Section 143.003(4), Local Government Code, without regard to whether the individual is subject to a civil service system or program.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"Maximum medical improvement" has the meaning assigned by Section 401.011, Labor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"Peace officer" means an individual under Article 2A.001, Code of Criminal Procedure, or other law who is elected, appointed, or employed to serve as a peace officer for a governmental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614.252.</w:t>
      </w:r>
      <w:r>
        <w:rPr>
          <w:u w:val="single"/>
        </w:rPr>
        <w:t xml:space="preserve"> </w:t>
      </w:r>
      <w:r>
        <w:rPr>
          <w:u w:val="single"/>
        </w:rPr>
        <w:t xml:space="preserve"> </w:t>
      </w:r>
      <w:r>
        <w:rPr>
          <w:u w:val="single"/>
        </w:rPr>
        <w:t xml:space="preserve">APPLICABILITY.  This subchapter does not apply to an employer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municipality that has adopted Chapter 143, Local Government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in which a civil service system has been created under Chapter 158, Local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614.253.</w:t>
      </w:r>
      <w:r>
        <w:rPr>
          <w:u w:val="single"/>
        </w:rPr>
        <w:t xml:space="preserve"> </w:t>
      </w:r>
      <w:r>
        <w:rPr>
          <w:u w:val="single"/>
        </w:rPr>
        <w:t xml:space="preserve"> </w:t>
      </w:r>
      <w:r>
        <w:rPr>
          <w:u w:val="single"/>
        </w:rPr>
        <w:t xml:space="preserve">RESTRICTION ON DISCHARGE.  (a)  This section applies to a peace officer, detention officer, county jailer, or firefighter who sustains a compensable injury under Title 5, Labor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employer may not discharge, indefinitely suspend, or terminate from employment a peace officer, detention officer, county jailer, or firefighter described by Subsection (a) based on the person's inability to perform the duties for which the person was elected, appointed, or employed because of the person's injury before the person is certified as having reached maximum medical improvement unless the report of the person's treating doctor under Title 5, Labor Code, including Section 504.053 of that code, indicates that the person is permanently restricted from returning to perform the duties for which the person was elected, appointed, or employed.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dispute regarding the ability of a peace officer, detention officer, county jailer, or firefighter described by Subsection (a) to perform the duties for which the person was elected, appointed, or employed shall be adjudicated in the manner provided by Chapter 410, Labor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614.254.</w:t>
      </w:r>
      <w:r>
        <w:rPr>
          <w:u w:val="single"/>
        </w:rPr>
        <w:t xml:space="preserve"> </w:t>
      </w:r>
      <w:r>
        <w:rPr>
          <w:u w:val="single"/>
        </w:rPr>
        <w:t xml:space="preserve"> </w:t>
      </w:r>
      <w:r>
        <w:rPr>
          <w:u w:val="single"/>
        </w:rPr>
        <w:t xml:space="preserve">REMEDIES; BURDEN OF PROOF.  (a)  An employer that violates Section 614.253 is liable for reasonable damages incurred by the peace officer, detention officer, county jailer, or firefighter as a result of the violation in an amount not to exceed $100,000.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peace officer, detention officer, county jailer, or firefighter discharged, indefinitely suspended, or terminated from employment in violation of Section 614.253 is entitled to reinstatement in the officer's, jailer's, or firefighter's former position of employment.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burden of proof in a proceeding under this section is on the peace officer, detention officer, county jailer, or firefighter.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Sovereign immunity to suit and from liability is waived and abolished to the extent of liability created by this section, and a current or former peace officer, detention officer, county jailer, or firefighter may sue an employer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damages allowed by Subsection (a);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reinstatement authorized under Subsection (b).</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discharge, indefinite suspension, or termination from employment in violation of Section 614.253, Government Code, as added by this Act, that occurs on or after the effective date of this Act.  A discharge, indefinite suspension, or termination that occurs before the effective date of this Act is governed by the law in effect on the date the discharge, indefinite suspension, or termination occurred,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