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89R5372 ANG-F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Kolkhorst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624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criteria considered by groundwater conservation districts before granting or denying a permit or permit amendment.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36.113(d), Water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This subsection does not apply to the renewal of an operating permit issued under Section 36.1145. </w:t>
      </w:r>
      <w:r>
        <w:t xml:space="preserve"> </w:t>
      </w:r>
      <w:r>
        <w:t xml:space="preserve">Before granting or denying a permit, or a permit amendment issued in accordance with Section 36.1146, the district shall consider whether: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application conforms to the requirements prescribed by this chapter and is accompanied by the prescribed fees;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proposed use of water unreasonably affects</w:t>
      </w:r>
      <w:r>
        <w:rPr>
          <w:u w:val="single"/>
        </w:rPr>
        <w:t xml:space="preserve">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 xml:space="preserve">
        <w:t> </w:t>
      </w:r>
      <w:r xml:space="preserve">
        <w:t> </w:t>
      </w:r>
      <w:r>
        <w:t xml:space="preserve">existing groundwater and surface water resources</w:t>
      </w:r>
      <w:r>
        <w:rPr>
          <w:u w:val="single"/>
        </w:rPr>
        <w:t xml:space="preserve">;</w:t>
      </w:r>
      <w:r>
        <w:t xml:space="preserve"> [</w:t>
      </w:r>
      <w:r>
        <w:rPr>
          <w:strike/>
        </w:rPr>
        <w:t xml:space="preserve">or</w:t>
      </w:r>
      <w:r>
        <w:t xml:space="preserve">]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 xml:space="preserve">
        <w:t> </w:t>
      </w:r>
      <w:r xml:space="preserve">
        <w:t> </w:t>
      </w:r>
      <w:r>
        <w:t xml:space="preserve">existing permit holders</w:t>
      </w:r>
      <w:r>
        <w:rPr>
          <w:u w:val="single"/>
        </w:rPr>
        <w:t xml:space="preserve">; or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wells that are registered with the district and exempt from the requirement to obtain a permit under this chapter or district rules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proposed use of water is dedicated to any beneficial use;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proposed use of water is consistent with the district's approved management plan;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if the well will be located in the Hill Country Priority Groundwater Management Area, the proposed use of water from the well is wholly or partly to provide water to a pond, lake, or reservoir to enhance the appearance of the landscape;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the applicant has agreed to avoid waste and achieve water conservation;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the applicant has agreed that reasonable diligence will be used to protect groundwater quality and that the applicant will follow well plugging guidelines at the time of well closure.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624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