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D3323" w14:paraId="19CF0698" w14:textId="77777777" w:rsidTr="00345119">
        <w:tc>
          <w:tcPr>
            <w:tcW w:w="9576" w:type="dxa"/>
            <w:noWrap/>
          </w:tcPr>
          <w:p w14:paraId="6E85B072" w14:textId="77777777" w:rsidR="008423E4" w:rsidRPr="0022177D" w:rsidRDefault="009F3B60" w:rsidP="00701D57">
            <w:pPr>
              <w:pStyle w:val="Heading1"/>
            </w:pPr>
            <w:r w:rsidRPr="00631897">
              <w:t>BILL ANALYSIS</w:t>
            </w:r>
          </w:p>
        </w:tc>
      </w:tr>
    </w:tbl>
    <w:p w14:paraId="363CAE64" w14:textId="77777777" w:rsidR="008423E4" w:rsidRPr="0022177D" w:rsidRDefault="008423E4" w:rsidP="00701D57">
      <w:pPr>
        <w:jc w:val="center"/>
      </w:pPr>
    </w:p>
    <w:p w14:paraId="50FAFC82" w14:textId="77777777" w:rsidR="008423E4" w:rsidRPr="00B31F0E" w:rsidRDefault="008423E4" w:rsidP="00701D57"/>
    <w:p w14:paraId="47B5DA52" w14:textId="77777777" w:rsidR="008423E4" w:rsidRPr="00742794" w:rsidRDefault="008423E4" w:rsidP="00701D57">
      <w:pPr>
        <w:tabs>
          <w:tab w:val="right" w:pos="9360"/>
        </w:tabs>
      </w:pPr>
    </w:p>
    <w:tbl>
      <w:tblPr>
        <w:tblW w:w="0" w:type="auto"/>
        <w:tblLayout w:type="fixed"/>
        <w:tblLook w:val="01E0" w:firstRow="1" w:lastRow="1" w:firstColumn="1" w:lastColumn="1" w:noHBand="0" w:noVBand="0"/>
      </w:tblPr>
      <w:tblGrid>
        <w:gridCol w:w="9576"/>
      </w:tblGrid>
      <w:tr w:rsidR="00BD3323" w14:paraId="66B9960F" w14:textId="77777777" w:rsidTr="00345119">
        <w:tc>
          <w:tcPr>
            <w:tcW w:w="9576" w:type="dxa"/>
          </w:tcPr>
          <w:p w14:paraId="2685667D" w14:textId="0C66DC2E" w:rsidR="008423E4" w:rsidRPr="00861995" w:rsidRDefault="009F3B60" w:rsidP="00701D57">
            <w:pPr>
              <w:jc w:val="right"/>
            </w:pPr>
            <w:r>
              <w:t>C.S.H.B. 1972</w:t>
            </w:r>
          </w:p>
        </w:tc>
      </w:tr>
      <w:tr w:rsidR="00BD3323" w14:paraId="47732D5E" w14:textId="77777777" w:rsidTr="00345119">
        <w:tc>
          <w:tcPr>
            <w:tcW w:w="9576" w:type="dxa"/>
          </w:tcPr>
          <w:p w14:paraId="78BEB6AE" w14:textId="3796026C" w:rsidR="008423E4" w:rsidRPr="00861995" w:rsidRDefault="009F3B60" w:rsidP="00701D57">
            <w:pPr>
              <w:jc w:val="right"/>
            </w:pPr>
            <w:r>
              <w:t xml:space="preserve">By: </w:t>
            </w:r>
            <w:r w:rsidR="00630677">
              <w:t>Campos</w:t>
            </w:r>
          </w:p>
        </w:tc>
      </w:tr>
      <w:tr w:rsidR="00BD3323" w14:paraId="280024E1" w14:textId="77777777" w:rsidTr="00345119">
        <w:tc>
          <w:tcPr>
            <w:tcW w:w="9576" w:type="dxa"/>
          </w:tcPr>
          <w:p w14:paraId="28A0483D" w14:textId="52A0B380" w:rsidR="008423E4" w:rsidRPr="00861995" w:rsidRDefault="009F3B60" w:rsidP="00701D57">
            <w:pPr>
              <w:jc w:val="right"/>
            </w:pPr>
            <w:r>
              <w:t>Youth Health &amp; Safety, Select</w:t>
            </w:r>
          </w:p>
        </w:tc>
      </w:tr>
      <w:tr w:rsidR="00BD3323" w14:paraId="3DE02E84" w14:textId="77777777" w:rsidTr="00345119">
        <w:tc>
          <w:tcPr>
            <w:tcW w:w="9576" w:type="dxa"/>
          </w:tcPr>
          <w:p w14:paraId="2893819D" w14:textId="35AC2154" w:rsidR="008423E4" w:rsidRDefault="009F3B60" w:rsidP="00701D57">
            <w:pPr>
              <w:jc w:val="right"/>
            </w:pPr>
            <w:r>
              <w:t>Committee Report (Substituted)</w:t>
            </w:r>
          </w:p>
        </w:tc>
      </w:tr>
    </w:tbl>
    <w:p w14:paraId="5C65468F" w14:textId="77777777" w:rsidR="008423E4" w:rsidRDefault="008423E4" w:rsidP="00701D57">
      <w:pPr>
        <w:tabs>
          <w:tab w:val="right" w:pos="9360"/>
        </w:tabs>
      </w:pPr>
    </w:p>
    <w:p w14:paraId="3450B62A" w14:textId="77777777" w:rsidR="008423E4" w:rsidRDefault="008423E4" w:rsidP="00701D57"/>
    <w:p w14:paraId="17693769" w14:textId="77777777" w:rsidR="008423E4" w:rsidRDefault="008423E4" w:rsidP="00701D57"/>
    <w:tbl>
      <w:tblPr>
        <w:tblW w:w="0" w:type="auto"/>
        <w:tblCellMar>
          <w:left w:w="115" w:type="dxa"/>
          <w:right w:w="115" w:type="dxa"/>
        </w:tblCellMar>
        <w:tblLook w:val="01E0" w:firstRow="1" w:lastRow="1" w:firstColumn="1" w:lastColumn="1" w:noHBand="0" w:noVBand="0"/>
      </w:tblPr>
      <w:tblGrid>
        <w:gridCol w:w="9360"/>
      </w:tblGrid>
      <w:tr w:rsidR="00BD3323" w14:paraId="2CC2A9D2" w14:textId="77777777" w:rsidTr="005D51AA">
        <w:tc>
          <w:tcPr>
            <w:tcW w:w="9360" w:type="dxa"/>
          </w:tcPr>
          <w:p w14:paraId="3A7F7BEE" w14:textId="77777777" w:rsidR="008423E4" w:rsidRPr="00A8133F" w:rsidRDefault="009F3B60" w:rsidP="00701D57">
            <w:pPr>
              <w:rPr>
                <w:b/>
              </w:rPr>
            </w:pPr>
            <w:r w:rsidRPr="009C1E9A">
              <w:rPr>
                <w:b/>
                <w:u w:val="single"/>
              </w:rPr>
              <w:t>BACKGROUND AND PURPOSE</w:t>
            </w:r>
            <w:r>
              <w:rPr>
                <w:b/>
              </w:rPr>
              <w:t xml:space="preserve"> </w:t>
            </w:r>
          </w:p>
          <w:p w14:paraId="47C2298F" w14:textId="77777777" w:rsidR="008423E4" w:rsidRDefault="008423E4" w:rsidP="00701D57"/>
          <w:p w14:paraId="7EC13374" w14:textId="68C62E05" w:rsidR="008423E4" w:rsidRDefault="009F3B60" w:rsidP="00701D57">
            <w:pPr>
              <w:jc w:val="both"/>
            </w:pPr>
            <w:r>
              <w:t>T</w:t>
            </w:r>
            <w:r w:rsidR="007D7FD4" w:rsidRPr="007D6898">
              <w:t xml:space="preserve">he 87th </w:t>
            </w:r>
            <w:r>
              <w:t>Texas Legislature</w:t>
            </w:r>
            <w:r w:rsidR="007D7FD4" w:rsidRPr="007D6898">
              <w:t xml:space="preserve"> </w:t>
            </w:r>
            <w:r>
              <w:t xml:space="preserve">enacted legislation requiring a court, </w:t>
            </w:r>
            <w:r w:rsidR="007D7FD4" w:rsidRPr="007D6898">
              <w:t>within 60 days of a child</w:t>
            </w:r>
            <w:r w:rsidR="00E94808">
              <w:t>'</w:t>
            </w:r>
            <w:r w:rsidR="007D7FD4" w:rsidRPr="007D6898">
              <w:t xml:space="preserve">s initial placement in a </w:t>
            </w:r>
            <w:r>
              <w:t>q</w:t>
            </w:r>
            <w:r w:rsidR="007D7FD4" w:rsidRPr="007D6898">
              <w:t xml:space="preserve">ualified </w:t>
            </w:r>
            <w:r>
              <w:t>r</w:t>
            </w:r>
            <w:r w:rsidR="007D7FD4" w:rsidRPr="007D6898">
              <w:t xml:space="preserve">esidential </w:t>
            </w:r>
            <w:r>
              <w:t>t</w:t>
            </w:r>
            <w:r w:rsidR="007D7FD4" w:rsidRPr="007D6898">
              <w:t xml:space="preserve">reatment </w:t>
            </w:r>
            <w:r>
              <w:t>p</w:t>
            </w:r>
            <w:r w:rsidR="007D7FD4" w:rsidRPr="007D6898">
              <w:t>rogram</w:t>
            </w:r>
            <w:r>
              <w:t>,</w:t>
            </w:r>
            <w:r w:rsidR="007D7FD4" w:rsidRPr="007D6898">
              <w:t xml:space="preserve"> </w:t>
            </w:r>
            <w:r>
              <w:t>to</w:t>
            </w:r>
            <w:r w:rsidR="007D7FD4" w:rsidRPr="007D6898">
              <w:t xml:space="preserve"> review </w:t>
            </w:r>
            <w:r>
              <w:t xml:space="preserve">and then either approve or disapprove </w:t>
            </w:r>
            <w:r w:rsidR="007D7FD4" w:rsidRPr="007D6898">
              <w:t xml:space="preserve">that placement. </w:t>
            </w:r>
            <w:r>
              <w:t xml:space="preserve">That legislation also required </w:t>
            </w:r>
            <w:r w:rsidR="007D7FD4" w:rsidRPr="007D6898">
              <w:t xml:space="preserve">the </w:t>
            </w:r>
            <w:r>
              <w:t xml:space="preserve">Supreme Court of Texas </w:t>
            </w:r>
            <w:r w:rsidR="007D7FD4" w:rsidRPr="007D6898">
              <w:t>Children's Commission</w:t>
            </w:r>
            <w:r>
              <w:t>,</w:t>
            </w:r>
            <w:r w:rsidR="007D7FD4" w:rsidRPr="007D6898">
              <w:t xml:space="preserve"> in collaboration with </w:t>
            </w:r>
            <w:r>
              <w:t>the Department of Famil</w:t>
            </w:r>
            <w:r>
              <w:t>y and Protective Services,</w:t>
            </w:r>
            <w:r w:rsidR="007D7FD4" w:rsidRPr="007D6898">
              <w:t xml:space="preserve"> </w:t>
            </w:r>
            <w:r>
              <w:t xml:space="preserve">to establish a work group to conduct a study regarding residential treatment </w:t>
            </w:r>
            <w:r w:rsidR="0009660C">
              <w:t>center</w:t>
            </w:r>
            <w:r>
              <w:t xml:space="preserve"> </w:t>
            </w:r>
            <w:r w:rsidR="0009660C">
              <w:t xml:space="preserve">(RTC) </w:t>
            </w:r>
            <w:r>
              <w:t>placement</w:t>
            </w:r>
            <w:r w:rsidR="0009660C">
              <w:t>s</w:t>
            </w:r>
            <w:r>
              <w:t>. The report submitted to the legislature by this work group in October 2022</w:t>
            </w:r>
            <w:r w:rsidRPr="007D6898">
              <w:t xml:space="preserve"> </w:t>
            </w:r>
            <w:r w:rsidR="0009660C">
              <w:t>included a recommendation for the legislature to implement a requirement for the court to make certain findings when a child is or may be placed in an RTC. Specifically, the report stated that</w:t>
            </w:r>
            <w:r w:rsidR="00E94808">
              <w:t>,</w:t>
            </w:r>
            <w:r w:rsidR="0009660C">
              <w:t xml:space="preserve"> "given the high level of care and the therapeutic need for RTC placements, it is critical for courts to review whether the placement meets the child's needs and goals and is appropriate for the child."</w:t>
            </w:r>
            <w:r w:rsidR="007D7FD4">
              <w:t xml:space="preserve"> </w:t>
            </w:r>
            <w:r w:rsidR="00E04FFC">
              <w:t>C.S.H.B.</w:t>
            </w:r>
            <w:r w:rsidR="00553113">
              <w:t> </w:t>
            </w:r>
            <w:r w:rsidR="00E04FFC">
              <w:t>1972 seeks to implement this work group recommendation. The bill also establishes a statutory definition of what constitutes an RTC so as to more clearly address which specific types of placements require judicial review, which was another work group recommendation.</w:t>
            </w:r>
          </w:p>
          <w:p w14:paraId="54DFE78B" w14:textId="77777777" w:rsidR="008423E4" w:rsidRPr="00E26B13" w:rsidRDefault="008423E4" w:rsidP="00701D57">
            <w:pPr>
              <w:rPr>
                <w:b/>
              </w:rPr>
            </w:pPr>
          </w:p>
        </w:tc>
      </w:tr>
      <w:tr w:rsidR="00BD3323" w14:paraId="7C74911C" w14:textId="77777777" w:rsidTr="005D51AA">
        <w:tc>
          <w:tcPr>
            <w:tcW w:w="9360" w:type="dxa"/>
          </w:tcPr>
          <w:p w14:paraId="42F9AD76" w14:textId="77777777" w:rsidR="0017725B" w:rsidRDefault="009F3B60" w:rsidP="00701D57">
            <w:pPr>
              <w:rPr>
                <w:b/>
                <w:u w:val="single"/>
              </w:rPr>
            </w:pPr>
            <w:r>
              <w:rPr>
                <w:b/>
                <w:u w:val="single"/>
              </w:rPr>
              <w:t>CRIMINAL JUSTICE IMPACT</w:t>
            </w:r>
          </w:p>
          <w:p w14:paraId="7F806F57" w14:textId="77777777" w:rsidR="0017725B" w:rsidRDefault="0017725B" w:rsidP="00701D57">
            <w:pPr>
              <w:rPr>
                <w:b/>
                <w:u w:val="single"/>
              </w:rPr>
            </w:pPr>
          </w:p>
          <w:p w14:paraId="79587B69" w14:textId="528372D7" w:rsidR="00B67FD3" w:rsidRPr="00B67FD3" w:rsidRDefault="009F3B60" w:rsidP="00701D57">
            <w:pPr>
              <w:jc w:val="both"/>
            </w:pPr>
            <w:r>
              <w:t>It is the committee's opinion that this bill does not expressly create a criminal offense, increase the puni</w:t>
            </w:r>
            <w:r>
              <w:t>shment for an existing criminal offense or category of offenses, or change the eligibility of a person for community supervision, parole, or mandatory supervision.</w:t>
            </w:r>
          </w:p>
          <w:p w14:paraId="0EDE2D17" w14:textId="77777777" w:rsidR="0017725B" w:rsidRPr="0017725B" w:rsidRDefault="0017725B" w:rsidP="00701D57">
            <w:pPr>
              <w:rPr>
                <w:b/>
                <w:u w:val="single"/>
              </w:rPr>
            </w:pPr>
          </w:p>
        </w:tc>
      </w:tr>
      <w:tr w:rsidR="00BD3323" w14:paraId="7435F196" w14:textId="77777777" w:rsidTr="005D51AA">
        <w:tc>
          <w:tcPr>
            <w:tcW w:w="9360" w:type="dxa"/>
          </w:tcPr>
          <w:p w14:paraId="1EEFE37F" w14:textId="77777777" w:rsidR="008423E4" w:rsidRPr="00A8133F" w:rsidRDefault="009F3B60" w:rsidP="00701D57">
            <w:pPr>
              <w:rPr>
                <w:b/>
              </w:rPr>
            </w:pPr>
            <w:r w:rsidRPr="009C1E9A">
              <w:rPr>
                <w:b/>
                <w:u w:val="single"/>
              </w:rPr>
              <w:t>RULEMAKING AUTHORITY</w:t>
            </w:r>
            <w:r>
              <w:rPr>
                <w:b/>
              </w:rPr>
              <w:t xml:space="preserve"> </w:t>
            </w:r>
          </w:p>
          <w:p w14:paraId="73F75095" w14:textId="77777777" w:rsidR="008423E4" w:rsidRDefault="008423E4" w:rsidP="00701D57"/>
          <w:p w14:paraId="70FE3AEF" w14:textId="6427CEB8" w:rsidR="00B67FD3" w:rsidRDefault="009F3B60" w:rsidP="00701D57">
            <w:pPr>
              <w:pStyle w:val="Header"/>
              <w:tabs>
                <w:tab w:val="clear" w:pos="4320"/>
                <w:tab w:val="clear" w:pos="8640"/>
              </w:tabs>
              <w:jc w:val="both"/>
            </w:pPr>
            <w:r>
              <w:t>It is the committee's opinion that this bill does not expressly gra</w:t>
            </w:r>
            <w:r>
              <w:t>nt any additional rulemaking authority to a state officer, department, agency, or institution.</w:t>
            </w:r>
          </w:p>
          <w:p w14:paraId="0571A790" w14:textId="77777777" w:rsidR="008423E4" w:rsidRPr="00E21FDC" w:rsidRDefault="008423E4" w:rsidP="00701D57">
            <w:pPr>
              <w:rPr>
                <w:b/>
              </w:rPr>
            </w:pPr>
          </w:p>
        </w:tc>
      </w:tr>
      <w:tr w:rsidR="00BD3323" w14:paraId="611A83EA" w14:textId="77777777" w:rsidTr="005D51AA">
        <w:tc>
          <w:tcPr>
            <w:tcW w:w="9360" w:type="dxa"/>
          </w:tcPr>
          <w:p w14:paraId="5482031F" w14:textId="77777777" w:rsidR="008423E4" w:rsidRPr="00A8133F" w:rsidRDefault="009F3B60" w:rsidP="00701D57">
            <w:pPr>
              <w:rPr>
                <w:b/>
              </w:rPr>
            </w:pPr>
            <w:r w:rsidRPr="009C1E9A">
              <w:rPr>
                <w:b/>
                <w:u w:val="single"/>
              </w:rPr>
              <w:t>ANALYSIS</w:t>
            </w:r>
            <w:r>
              <w:rPr>
                <w:b/>
              </w:rPr>
              <w:t xml:space="preserve"> </w:t>
            </w:r>
          </w:p>
          <w:p w14:paraId="1ABEB161" w14:textId="34198D85" w:rsidR="008423E4" w:rsidRDefault="008423E4" w:rsidP="00701D57"/>
          <w:p w14:paraId="20A7860B" w14:textId="6BC535CC" w:rsidR="009C36CD" w:rsidRDefault="009F3B60" w:rsidP="00701D57">
            <w:pPr>
              <w:pStyle w:val="Header"/>
              <w:tabs>
                <w:tab w:val="clear" w:pos="4320"/>
                <w:tab w:val="clear" w:pos="8640"/>
              </w:tabs>
              <w:jc w:val="both"/>
            </w:pPr>
            <w:r>
              <w:t>C.S.</w:t>
            </w:r>
            <w:r w:rsidR="00547CD6">
              <w:t xml:space="preserve">H.B. 1972 amends the Family Code </w:t>
            </w:r>
            <w:r w:rsidR="00032A93">
              <w:t xml:space="preserve">to require the court, </w:t>
            </w:r>
            <w:r w:rsidR="00547CD6">
              <w:t xml:space="preserve">with respect to a child under the care of the Department of Family and Protective </w:t>
            </w:r>
            <w:r w:rsidR="00CE02D7">
              <w:t>Services</w:t>
            </w:r>
            <w:r w:rsidR="00032A93">
              <w:t xml:space="preserve"> </w:t>
            </w:r>
            <w:r w:rsidR="007D7FD4">
              <w:t xml:space="preserve">(DFPS) </w:t>
            </w:r>
            <w:r w:rsidR="003E705C">
              <w:t xml:space="preserve">who is </w:t>
            </w:r>
            <w:r w:rsidRPr="00734AF3">
              <w:t xml:space="preserve">placed in a residential treatment center, or </w:t>
            </w:r>
            <w:r w:rsidR="007D7FD4">
              <w:t>who</w:t>
            </w:r>
            <w:r w:rsidRPr="00734AF3">
              <w:t xml:space="preserve"> is referred to and awaiting placement </w:t>
            </w:r>
            <w:r w:rsidR="00032A93">
              <w:t>in a residential treatment center, to determine</w:t>
            </w:r>
            <w:r w:rsidR="00324766">
              <w:t xml:space="preserve"> </w:t>
            </w:r>
            <w:r w:rsidR="00602B67">
              <w:t>whether, as follows</w:t>
            </w:r>
            <w:r w:rsidR="00324766">
              <w:t xml:space="preserve">: </w:t>
            </w:r>
          </w:p>
          <w:p w14:paraId="75540281" w14:textId="4085C479" w:rsidR="00032A93" w:rsidRDefault="009F3B60" w:rsidP="00701D57">
            <w:pPr>
              <w:pStyle w:val="Header"/>
              <w:numPr>
                <w:ilvl w:val="0"/>
                <w:numId w:val="1"/>
              </w:numPr>
              <w:jc w:val="both"/>
            </w:pPr>
            <w:r>
              <w:t>the child</w:t>
            </w:r>
            <w:r w:rsidR="00C20274">
              <w:t>'</w:t>
            </w:r>
            <w:r>
              <w:t>s needs can be met through placement in a family-like setting;</w:t>
            </w:r>
          </w:p>
          <w:p w14:paraId="65F2A44D" w14:textId="53BE5EA4" w:rsidR="00032A93" w:rsidRDefault="009F3B60" w:rsidP="00701D57">
            <w:pPr>
              <w:pStyle w:val="Header"/>
              <w:numPr>
                <w:ilvl w:val="0"/>
                <w:numId w:val="1"/>
              </w:numPr>
              <w:jc w:val="both"/>
            </w:pPr>
            <w:r>
              <w:t>the recommended or existing program can provide the most effective and appropriate level of care for the child;</w:t>
            </w:r>
          </w:p>
          <w:p w14:paraId="1F95329A" w14:textId="5945B7B4" w:rsidR="00032A93" w:rsidRDefault="009F3B60" w:rsidP="00701D57">
            <w:pPr>
              <w:pStyle w:val="Header"/>
              <w:numPr>
                <w:ilvl w:val="0"/>
                <w:numId w:val="1"/>
              </w:numPr>
              <w:jc w:val="both"/>
            </w:pPr>
            <w:r>
              <w:t>the recommended or existing program is the least restrictive sett</w:t>
            </w:r>
            <w:r>
              <w:t>ing consistent with the child</w:t>
            </w:r>
            <w:r w:rsidR="003F0120">
              <w:t>'</w:t>
            </w:r>
            <w:r>
              <w:t>s best interest and individual needs; and</w:t>
            </w:r>
          </w:p>
          <w:p w14:paraId="161D5CD4" w14:textId="2C684246" w:rsidR="00032A93" w:rsidRDefault="009F3B60" w:rsidP="00701D57">
            <w:pPr>
              <w:pStyle w:val="Header"/>
              <w:numPr>
                <w:ilvl w:val="0"/>
                <w:numId w:val="1"/>
              </w:numPr>
              <w:tabs>
                <w:tab w:val="clear" w:pos="4320"/>
                <w:tab w:val="clear" w:pos="8640"/>
              </w:tabs>
              <w:jc w:val="both"/>
            </w:pPr>
            <w:r>
              <w:t>the placement is consistent with the short-term and long-term goals for the child, as specified by the child</w:t>
            </w:r>
            <w:r w:rsidR="00C20274">
              <w:t>'</w:t>
            </w:r>
            <w:r>
              <w:t>s permanency plan.</w:t>
            </w:r>
          </w:p>
          <w:p w14:paraId="27FDBFA3" w14:textId="6802959B" w:rsidR="006C5BDE" w:rsidRDefault="009F3B60" w:rsidP="00701D57">
            <w:pPr>
              <w:pStyle w:val="Header"/>
              <w:jc w:val="both"/>
            </w:pPr>
            <w:r>
              <w:t xml:space="preserve">The bill authorizes the court to consider the following in making </w:t>
            </w:r>
            <w:r w:rsidR="0088769F">
              <w:t xml:space="preserve">that </w:t>
            </w:r>
            <w:r>
              <w:t xml:space="preserve">determination: </w:t>
            </w:r>
          </w:p>
          <w:p w14:paraId="6FE4AE45" w14:textId="7C946D0A" w:rsidR="006C5BDE" w:rsidRDefault="009F3B60" w:rsidP="00701D57">
            <w:pPr>
              <w:pStyle w:val="Header"/>
              <w:numPr>
                <w:ilvl w:val="0"/>
                <w:numId w:val="2"/>
              </w:numPr>
              <w:jc w:val="both"/>
            </w:pPr>
            <w:r>
              <w:t>psychological or psychiatric assessments;</w:t>
            </w:r>
          </w:p>
          <w:p w14:paraId="6AF9FC53" w14:textId="47AF15CF" w:rsidR="006C5BDE" w:rsidRDefault="009F3B60" w:rsidP="00701D57">
            <w:pPr>
              <w:pStyle w:val="Header"/>
              <w:numPr>
                <w:ilvl w:val="0"/>
                <w:numId w:val="2"/>
              </w:numPr>
              <w:jc w:val="both"/>
            </w:pPr>
            <w:r>
              <w:t>the child</w:t>
            </w:r>
            <w:r w:rsidR="00C20274">
              <w:t>'</w:t>
            </w:r>
            <w:r>
              <w:t>s current treatment plan and progress being made;</w:t>
            </w:r>
          </w:p>
          <w:p w14:paraId="49C13299" w14:textId="4CE9A789" w:rsidR="006C5BDE" w:rsidRDefault="009F3B60" w:rsidP="00701D57">
            <w:pPr>
              <w:pStyle w:val="Header"/>
              <w:numPr>
                <w:ilvl w:val="0"/>
                <w:numId w:val="2"/>
              </w:numPr>
              <w:jc w:val="both"/>
            </w:pPr>
            <w:r>
              <w:t>any significant medical, legal, or behavioral incidents involving t</w:t>
            </w:r>
            <w:r>
              <w:t>he child;</w:t>
            </w:r>
          </w:p>
          <w:p w14:paraId="75B2EBCD" w14:textId="7FB0EAC0" w:rsidR="009A552A" w:rsidRDefault="009F3B60" w:rsidP="00701D57">
            <w:pPr>
              <w:pStyle w:val="Header"/>
              <w:numPr>
                <w:ilvl w:val="0"/>
                <w:numId w:val="2"/>
              </w:numPr>
              <w:jc w:val="both"/>
            </w:pPr>
            <w:r>
              <w:t>the reasons for the child</w:t>
            </w:r>
            <w:r w:rsidR="00E94808">
              <w:t>'</w:t>
            </w:r>
            <w:r>
              <w:t>s discharge from any previous placement or the child</w:t>
            </w:r>
            <w:r w:rsidR="00E94808">
              <w:t>'</w:t>
            </w:r>
            <w:r>
              <w:t>s current placement;</w:t>
            </w:r>
          </w:p>
          <w:p w14:paraId="64F749CE" w14:textId="412AD31E" w:rsidR="006C5BDE" w:rsidRDefault="009F3B60" w:rsidP="00701D57">
            <w:pPr>
              <w:pStyle w:val="Header"/>
              <w:numPr>
                <w:ilvl w:val="0"/>
                <w:numId w:val="2"/>
              </w:numPr>
              <w:jc w:val="both"/>
            </w:pPr>
            <w:r>
              <w:t>the programs available at the facility to address the child</w:t>
            </w:r>
            <w:r w:rsidR="00E94808">
              <w:t>'</w:t>
            </w:r>
            <w:r>
              <w:t>s needs;</w:t>
            </w:r>
          </w:p>
          <w:p w14:paraId="55347377" w14:textId="6D93E991" w:rsidR="009A552A" w:rsidRDefault="009F3B60" w:rsidP="00701D57">
            <w:pPr>
              <w:pStyle w:val="Header"/>
              <w:numPr>
                <w:ilvl w:val="0"/>
                <w:numId w:val="2"/>
              </w:numPr>
              <w:jc w:val="both"/>
            </w:pPr>
            <w:r>
              <w:t>the program</w:t>
            </w:r>
            <w:r w:rsidR="00C20274">
              <w:t>'</w:t>
            </w:r>
            <w:r>
              <w:t>s plan to discharge the child after treatment;</w:t>
            </w:r>
          </w:p>
          <w:p w14:paraId="2A41D372" w14:textId="22F1FA0C" w:rsidR="006C5BDE" w:rsidRDefault="009F3B60" w:rsidP="00701D57">
            <w:pPr>
              <w:pStyle w:val="Header"/>
              <w:numPr>
                <w:ilvl w:val="0"/>
                <w:numId w:val="2"/>
              </w:numPr>
              <w:jc w:val="both"/>
            </w:pPr>
            <w:r>
              <w:t xml:space="preserve">whether there are </w:t>
            </w:r>
            <w:r>
              <w:t>other programs that more effectively meet the child</w:t>
            </w:r>
            <w:r w:rsidR="00E94808">
              <w:t>'</w:t>
            </w:r>
            <w:r>
              <w:t>s needs; and</w:t>
            </w:r>
          </w:p>
          <w:p w14:paraId="19DBC0BA" w14:textId="597A426F" w:rsidR="006C5BDE" w:rsidRDefault="009F3B60" w:rsidP="00701D57">
            <w:pPr>
              <w:pStyle w:val="Header"/>
              <w:numPr>
                <w:ilvl w:val="0"/>
                <w:numId w:val="2"/>
              </w:numPr>
              <w:tabs>
                <w:tab w:val="clear" w:pos="4320"/>
                <w:tab w:val="clear" w:pos="8640"/>
              </w:tabs>
              <w:jc w:val="both"/>
            </w:pPr>
            <w:r>
              <w:t>any other information that would assist the court in making the determination.</w:t>
            </w:r>
          </w:p>
          <w:p w14:paraId="425376C3" w14:textId="0A6C01BA" w:rsidR="008F10D7" w:rsidRDefault="009F3B60" w:rsidP="00701D57">
            <w:pPr>
              <w:pStyle w:val="Header"/>
              <w:tabs>
                <w:tab w:val="clear" w:pos="4320"/>
                <w:tab w:val="clear" w:pos="8640"/>
              </w:tabs>
              <w:jc w:val="both"/>
            </w:pPr>
            <w:r>
              <w:t>The bill defines "residential</w:t>
            </w:r>
            <w:r>
              <w:t xml:space="preserve"> treatment center" as a licensed child-care facility that provides care for seven or more children for 24 hours a day and that provides treatment services.</w:t>
            </w:r>
          </w:p>
          <w:p w14:paraId="4D1AD4AA" w14:textId="77777777" w:rsidR="00927772" w:rsidRDefault="00927772" w:rsidP="00701D57">
            <w:pPr>
              <w:pStyle w:val="Header"/>
              <w:tabs>
                <w:tab w:val="clear" w:pos="4320"/>
                <w:tab w:val="clear" w:pos="8640"/>
              </w:tabs>
              <w:jc w:val="both"/>
            </w:pPr>
          </w:p>
          <w:p w14:paraId="1A9AAC6C" w14:textId="0ED7C9F8" w:rsidR="009073C0" w:rsidRDefault="009F3B60" w:rsidP="00701D57">
            <w:pPr>
              <w:pStyle w:val="Header"/>
              <w:tabs>
                <w:tab w:val="clear" w:pos="4320"/>
                <w:tab w:val="clear" w:pos="8640"/>
              </w:tabs>
              <w:jc w:val="both"/>
            </w:pPr>
            <w:r>
              <w:t>C.S.</w:t>
            </w:r>
            <w:r w:rsidR="00927772">
              <w:t xml:space="preserve">H.B. 1972 </w:t>
            </w:r>
            <w:r w:rsidR="00C603C0">
              <w:t>requires</w:t>
            </w:r>
            <w:r w:rsidR="00927772">
              <w:t xml:space="preserve"> </w:t>
            </w:r>
            <w:r w:rsidR="00C603C0">
              <w:t>the</w:t>
            </w:r>
            <w:r w:rsidR="00927772">
              <w:t xml:space="preserve"> court</w:t>
            </w:r>
            <w:r w:rsidR="00C603C0">
              <w:t>,</w:t>
            </w:r>
            <w:r w:rsidR="00927772">
              <w:t xml:space="preserve"> </w:t>
            </w:r>
            <w:r w:rsidR="00C603C0">
              <w:t>in</w:t>
            </w:r>
            <w:r w:rsidR="00927772">
              <w:t xml:space="preserve"> mak</w:t>
            </w:r>
            <w:r w:rsidR="00C603C0">
              <w:t>ing its findings</w:t>
            </w:r>
            <w:r w:rsidR="00927772">
              <w:t xml:space="preserve"> </w:t>
            </w:r>
            <w:r w:rsidR="00C603C0">
              <w:t>during</w:t>
            </w:r>
            <w:r w:rsidR="00927772">
              <w:t xml:space="preserve"> a status hearing</w:t>
            </w:r>
            <w:r w:rsidR="00C20274">
              <w:t>,</w:t>
            </w:r>
            <w:r w:rsidR="00001D33">
              <w:t xml:space="preserve"> and </w:t>
            </w:r>
            <w:r w:rsidR="00C70A38">
              <w:t xml:space="preserve">in </w:t>
            </w:r>
            <w:r w:rsidR="00C603C0">
              <w:t>making its</w:t>
            </w:r>
            <w:r w:rsidR="00001D33">
              <w:t xml:space="preserve"> </w:t>
            </w:r>
            <w:r w:rsidR="00C603C0">
              <w:t>determinations during a permanency hearing</w:t>
            </w:r>
            <w:r w:rsidR="00C70A38">
              <w:t xml:space="preserve"> held</w:t>
            </w:r>
            <w:r w:rsidR="00C603C0">
              <w:t xml:space="preserve"> </w:t>
            </w:r>
            <w:r w:rsidR="00001D33">
              <w:t xml:space="preserve">before </w:t>
            </w:r>
            <w:r w:rsidR="00C70A38">
              <w:t xml:space="preserve">or </w:t>
            </w:r>
            <w:r w:rsidR="00001D33">
              <w:t xml:space="preserve">after the final order </w:t>
            </w:r>
            <w:r w:rsidR="00C603C0">
              <w:t>is rendered</w:t>
            </w:r>
            <w:r w:rsidR="00001D33">
              <w:t xml:space="preserve">, </w:t>
            </w:r>
            <w:r w:rsidR="00C603C0">
              <w:t>to make a finding or</w:t>
            </w:r>
            <w:r w:rsidR="00001D33">
              <w:t xml:space="preserve"> </w:t>
            </w:r>
            <w:r w:rsidR="00115E53">
              <w:t xml:space="preserve">review the permanency progress </w:t>
            </w:r>
            <w:r w:rsidR="00D2715F">
              <w:t xml:space="preserve">report </w:t>
            </w:r>
            <w:r w:rsidR="00115E53">
              <w:t>to determine</w:t>
            </w:r>
            <w:r w:rsidR="00001D33">
              <w:t xml:space="preserve">, </w:t>
            </w:r>
            <w:r w:rsidR="00C603C0">
              <w:t xml:space="preserve">as appropriate, regarding whether, based on the court's determination, </w:t>
            </w:r>
            <w:r w:rsidR="00001D33">
              <w:t xml:space="preserve">continued placement in a </w:t>
            </w:r>
            <w:r w:rsidR="00C70A38">
              <w:t xml:space="preserve">residential treatment center or in a </w:t>
            </w:r>
            <w:r w:rsidR="00001D33">
              <w:t>qualified residential treatment program</w:t>
            </w:r>
            <w:r w:rsidR="00C70A38">
              <w:t xml:space="preserve"> is appropriate for the child, if applicable</w:t>
            </w:r>
            <w:r w:rsidR="00001D33">
              <w:t xml:space="preserve">. </w:t>
            </w:r>
            <w:r w:rsidR="00B67FD3">
              <w:t xml:space="preserve"> </w:t>
            </w:r>
          </w:p>
          <w:p w14:paraId="55CE297D" w14:textId="6338F1A2" w:rsidR="00EC6939" w:rsidRPr="009A552A" w:rsidRDefault="00EC6939" w:rsidP="00701D57">
            <w:pPr>
              <w:pStyle w:val="Header"/>
              <w:tabs>
                <w:tab w:val="clear" w:pos="4320"/>
                <w:tab w:val="clear" w:pos="8640"/>
              </w:tabs>
              <w:jc w:val="both"/>
            </w:pPr>
          </w:p>
        </w:tc>
      </w:tr>
      <w:tr w:rsidR="00BD3323" w14:paraId="07ADD930" w14:textId="77777777" w:rsidTr="005D51AA">
        <w:tc>
          <w:tcPr>
            <w:tcW w:w="9360" w:type="dxa"/>
          </w:tcPr>
          <w:p w14:paraId="51438A3D" w14:textId="77777777" w:rsidR="008423E4" w:rsidRPr="00A8133F" w:rsidRDefault="009F3B60" w:rsidP="00701D57">
            <w:pPr>
              <w:rPr>
                <w:b/>
              </w:rPr>
            </w:pPr>
            <w:r w:rsidRPr="009C1E9A">
              <w:rPr>
                <w:b/>
                <w:u w:val="single"/>
              </w:rPr>
              <w:t>EFFECTIVE DATE</w:t>
            </w:r>
            <w:r>
              <w:rPr>
                <w:b/>
              </w:rPr>
              <w:t xml:space="preserve"> </w:t>
            </w:r>
          </w:p>
          <w:p w14:paraId="271B2505" w14:textId="77777777" w:rsidR="008423E4" w:rsidRDefault="008423E4" w:rsidP="00701D57"/>
          <w:p w14:paraId="57680902" w14:textId="5F232AE9" w:rsidR="008423E4" w:rsidRPr="003624F2" w:rsidRDefault="009F3B60" w:rsidP="00701D57">
            <w:pPr>
              <w:pStyle w:val="Header"/>
              <w:tabs>
                <w:tab w:val="clear" w:pos="4320"/>
                <w:tab w:val="clear" w:pos="8640"/>
              </w:tabs>
              <w:jc w:val="both"/>
            </w:pPr>
            <w:r>
              <w:t>September 1, 2023.</w:t>
            </w:r>
          </w:p>
          <w:p w14:paraId="4D2E638C" w14:textId="77777777" w:rsidR="008423E4" w:rsidRPr="00233FDB" w:rsidRDefault="008423E4" w:rsidP="00701D57">
            <w:pPr>
              <w:rPr>
                <w:b/>
              </w:rPr>
            </w:pPr>
          </w:p>
        </w:tc>
      </w:tr>
      <w:tr w:rsidR="00BD3323" w14:paraId="2AA2B25F" w14:textId="77777777" w:rsidTr="005D51AA">
        <w:tc>
          <w:tcPr>
            <w:tcW w:w="9360" w:type="dxa"/>
          </w:tcPr>
          <w:p w14:paraId="4A3C5EC8" w14:textId="77777777" w:rsidR="00630677" w:rsidRDefault="009F3B60" w:rsidP="00630677">
            <w:pPr>
              <w:jc w:val="both"/>
              <w:rPr>
                <w:b/>
                <w:u w:val="single"/>
              </w:rPr>
            </w:pPr>
            <w:r>
              <w:rPr>
                <w:b/>
                <w:u w:val="single"/>
              </w:rPr>
              <w:t>COMPARISON OF INTRODUCED AND SUBSTITUTE</w:t>
            </w:r>
          </w:p>
          <w:p w14:paraId="5AEB6B13" w14:textId="77777777" w:rsidR="00115E53" w:rsidRDefault="00115E53" w:rsidP="00115E53">
            <w:pPr>
              <w:jc w:val="both"/>
            </w:pPr>
          </w:p>
          <w:p w14:paraId="1477AF1E" w14:textId="77777777" w:rsidR="00115E53" w:rsidRDefault="009F3B60" w:rsidP="00115E53">
            <w:pPr>
              <w:jc w:val="both"/>
            </w:pPr>
            <w:r>
              <w:t xml:space="preserve">While C.S.H.B. 1972 may differ from the </w:t>
            </w:r>
            <w:r>
              <w:t>introduced in minor or nonsubstantive ways, the following summarizes the substantial differences between the introduced and committee substitute versions of the bill.</w:t>
            </w:r>
          </w:p>
          <w:p w14:paraId="4E85C500" w14:textId="77777777" w:rsidR="00115E53" w:rsidRDefault="00115E53" w:rsidP="00115E53">
            <w:pPr>
              <w:jc w:val="both"/>
            </w:pPr>
          </w:p>
          <w:p w14:paraId="244949D8" w14:textId="7CE36631" w:rsidR="00734AF3" w:rsidRPr="00630677" w:rsidRDefault="009F3B60" w:rsidP="00115E53">
            <w:pPr>
              <w:jc w:val="both"/>
              <w:rPr>
                <w:b/>
                <w:u w:val="single"/>
              </w:rPr>
            </w:pPr>
            <w:r>
              <w:t>Whereas the introduced required the court to make the applicable determinations with res</w:t>
            </w:r>
            <w:r>
              <w:t xml:space="preserve">pect to a child under the care of DFPS who is or may be placed in a residential treatment center, the substitute requires the court to make such determinations instead for a child under the care of DFPS who is placed </w:t>
            </w:r>
            <w:r w:rsidRPr="00AD213A">
              <w:t xml:space="preserve">in a residential treatment center or </w:t>
            </w:r>
            <w:r>
              <w:t>wh</w:t>
            </w:r>
            <w:r>
              <w:t>o is</w:t>
            </w:r>
            <w:r w:rsidRPr="00AD213A">
              <w:t xml:space="preserve"> referred to and awaiting placement</w:t>
            </w:r>
            <w:r>
              <w:t xml:space="preserve"> in a residential treatment center.</w:t>
            </w:r>
          </w:p>
        </w:tc>
      </w:tr>
    </w:tbl>
    <w:p w14:paraId="3371CC6C" w14:textId="77777777" w:rsidR="008423E4" w:rsidRPr="00BE0E75" w:rsidRDefault="008423E4" w:rsidP="00701D57">
      <w:pPr>
        <w:jc w:val="both"/>
        <w:rPr>
          <w:rFonts w:ascii="Arial" w:hAnsi="Arial"/>
          <w:sz w:val="16"/>
          <w:szCs w:val="16"/>
        </w:rPr>
      </w:pPr>
    </w:p>
    <w:p w14:paraId="2FBC17BD" w14:textId="77777777" w:rsidR="004108C3" w:rsidRPr="008423E4" w:rsidRDefault="004108C3" w:rsidP="00701D57"/>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2645" w14:textId="77777777" w:rsidR="00000000" w:rsidRDefault="009F3B60">
      <w:r>
        <w:separator/>
      </w:r>
    </w:p>
  </w:endnote>
  <w:endnote w:type="continuationSeparator" w:id="0">
    <w:p w14:paraId="23785193" w14:textId="77777777" w:rsidR="00000000" w:rsidRDefault="009F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C674"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D3323" w14:paraId="36A3C69E" w14:textId="77777777" w:rsidTr="009C1E9A">
      <w:trPr>
        <w:cantSplit/>
      </w:trPr>
      <w:tc>
        <w:tcPr>
          <w:tcW w:w="0" w:type="pct"/>
        </w:tcPr>
        <w:p w14:paraId="712D6AAC" w14:textId="77777777" w:rsidR="00137D90" w:rsidRDefault="00137D90" w:rsidP="009C1E9A">
          <w:pPr>
            <w:pStyle w:val="Footer"/>
            <w:tabs>
              <w:tab w:val="clear" w:pos="8640"/>
              <w:tab w:val="right" w:pos="9360"/>
            </w:tabs>
          </w:pPr>
        </w:p>
      </w:tc>
      <w:tc>
        <w:tcPr>
          <w:tcW w:w="2395" w:type="pct"/>
        </w:tcPr>
        <w:p w14:paraId="7662302F" w14:textId="77777777" w:rsidR="00137D90" w:rsidRDefault="00137D90" w:rsidP="009C1E9A">
          <w:pPr>
            <w:pStyle w:val="Footer"/>
            <w:tabs>
              <w:tab w:val="clear" w:pos="8640"/>
              <w:tab w:val="right" w:pos="9360"/>
            </w:tabs>
          </w:pPr>
        </w:p>
        <w:p w14:paraId="2FDF63E6" w14:textId="77777777" w:rsidR="001A4310" w:rsidRDefault="001A4310" w:rsidP="009C1E9A">
          <w:pPr>
            <w:pStyle w:val="Footer"/>
            <w:tabs>
              <w:tab w:val="clear" w:pos="8640"/>
              <w:tab w:val="right" w:pos="9360"/>
            </w:tabs>
          </w:pPr>
        </w:p>
        <w:p w14:paraId="28084CE4" w14:textId="77777777" w:rsidR="00137D90" w:rsidRDefault="00137D90" w:rsidP="009C1E9A">
          <w:pPr>
            <w:pStyle w:val="Footer"/>
            <w:tabs>
              <w:tab w:val="clear" w:pos="8640"/>
              <w:tab w:val="right" w:pos="9360"/>
            </w:tabs>
          </w:pPr>
        </w:p>
      </w:tc>
      <w:tc>
        <w:tcPr>
          <w:tcW w:w="2453" w:type="pct"/>
        </w:tcPr>
        <w:p w14:paraId="617A949A" w14:textId="77777777" w:rsidR="00137D90" w:rsidRDefault="00137D90" w:rsidP="009C1E9A">
          <w:pPr>
            <w:pStyle w:val="Footer"/>
            <w:tabs>
              <w:tab w:val="clear" w:pos="8640"/>
              <w:tab w:val="right" w:pos="9360"/>
            </w:tabs>
            <w:jc w:val="right"/>
          </w:pPr>
        </w:p>
      </w:tc>
    </w:tr>
    <w:tr w:rsidR="00BD3323" w14:paraId="40CA3360" w14:textId="77777777" w:rsidTr="009C1E9A">
      <w:trPr>
        <w:cantSplit/>
      </w:trPr>
      <w:tc>
        <w:tcPr>
          <w:tcW w:w="0" w:type="pct"/>
        </w:tcPr>
        <w:p w14:paraId="440759BD" w14:textId="77777777" w:rsidR="00EC379B" w:rsidRDefault="00EC379B" w:rsidP="009C1E9A">
          <w:pPr>
            <w:pStyle w:val="Footer"/>
            <w:tabs>
              <w:tab w:val="clear" w:pos="8640"/>
              <w:tab w:val="right" w:pos="9360"/>
            </w:tabs>
          </w:pPr>
        </w:p>
      </w:tc>
      <w:tc>
        <w:tcPr>
          <w:tcW w:w="2395" w:type="pct"/>
        </w:tcPr>
        <w:p w14:paraId="690A864B" w14:textId="49081339" w:rsidR="00EC379B" w:rsidRPr="009C1E9A" w:rsidRDefault="009F3B60" w:rsidP="009C1E9A">
          <w:pPr>
            <w:pStyle w:val="Footer"/>
            <w:tabs>
              <w:tab w:val="clear" w:pos="8640"/>
              <w:tab w:val="right" w:pos="9360"/>
            </w:tabs>
            <w:rPr>
              <w:rFonts w:ascii="Shruti" w:hAnsi="Shruti"/>
              <w:sz w:val="22"/>
            </w:rPr>
          </w:pPr>
          <w:r>
            <w:rPr>
              <w:rFonts w:ascii="Shruti" w:hAnsi="Shruti"/>
              <w:sz w:val="22"/>
            </w:rPr>
            <w:t>88R 25915-D</w:t>
          </w:r>
        </w:p>
      </w:tc>
      <w:tc>
        <w:tcPr>
          <w:tcW w:w="2453" w:type="pct"/>
        </w:tcPr>
        <w:p w14:paraId="53CED4E5" w14:textId="076BF801" w:rsidR="00EC379B" w:rsidRDefault="009F3B60" w:rsidP="009C1E9A">
          <w:pPr>
            <w:pStyle w:val="Footer"/>
            <w:tabs>
              <w:tab w:val="clear" w:pos="8640"/>
              <w:tab w:val="right" w:pos="9360"/>
            </w:tabs>
            <w:jc w:val="right"/>
          </w:pPr>
          <w:r>
            <w:fldChar w:fldCharType="begin"/>
          </w:r>
          <w:r>
            <w:instrText xml:space="preserve"> DOCPROPERTY  OTID  \* MERGEFORMAT </w:instrText>
          </w:r>
          <w:r>
            <w:fldChar w:fldCharType="separate"/>
          </w:r>
          <w:r w:rsidR="00176C31">
            <w:t>23.114.145</w:t>
          </w:r>
          <w:r>
            <w:fldChar w:fldCharType="end"/>
          </w:r>
        </w:p>
      </w:tc>
    </w:tr>
    <w:tr w:rsidR="00BD3323" w14:paraId="39AE880F" w14:textId="77777777" w:rsidTr="009C1E9A">
      <w:trPr>
        <w:cantSplit/>
      </w:trPr>
      <w:tc>
        <w:tcPr>
          <w:tcW w:w="0" w:type="pct"/>
        </w:tcPr>
        <w:p w14:paraId="2821D014" w14:textId="77777777" w:rsidR="00EC379B" w:rsidRDefault="00EC379B" w:rsidP="009C1E9A">
          <w:pPr>
            <w:pStyle w:val="Footer"/>
            <w:tabs>
              <w:tab w:val="clear" w:pos="4320"/>
              <w:tab w:val="clear" w:pos="8640"/>
              <w:tab w:val="left" w:pos="2865"/>
            </w:tabs>
          </w:pPr>
        </w:p>
      </w:tc>
      <w:tc>
        <w:tcPr>
          <w:tcW w:w="2395" w:type="pct"/>
        </w:tcPr>
        <w:p w14:paraId="34385FD1" w14:textId="0EA63518" w:rsidR="00EC379B" w:rsidRPr="009C1E9A" w:rsidRDefault="009F3B60" w:rsidP="009C1E9A">
          <w:pPr>
            <w:pStyle w:val="Footer"/>
            <w:tabs>
              <w:tab w:val="clear" w:pos="4320"/>
              <w:tab w:val="clear" w:pos="8640"/>
              <w:tab w:val="left" w:pos="2865"/>
            </w:tabs>
            <w:rPr>
              <w:rFonts w:ascii="Shruti" w:hAnsi="Shruti"/>
              <w:sz w:val="22"/>
            </w:rPr>
          </w:pPr>
          <w:r>
            <w:rPr>
              <w:rFonts w:ascii="Shruti" w:hAnsi="Shruti"/>
              <w:sz w:val="22"/>
            </w:rPr>
            <w:t>Substitute Document Number: 88R 22806</w:t>
          </w:r>
        </w:p>
      </w:tc>
      <w:tc>
        <w:tcPr>
          <w:tcW w:w="2453" w:type="pct"/>
        </w:tcPr>
        <w:p w14:paraId="71C09284" w14:textId="77777777" w:rsidR="00EC379B" w:rsidRDefault="00EC379B" w:rsidP="006D504F">
          <w:pPr>
            <w:pStyle w:val="Footer"/>
            <w:rPr>
              <w:rStyle w:val="PageNumber"/>
            </w:rPr>
          </w:pPr>
        </w:p>
        <w:p w14:paraId="03C1B7A3" w14:textId="77777777" w:rsidR="00EC379B" w:rsidRDefault="00EC379B" w:rsidP="009C1E9A">
          <w:pPr>
            <w:pStyle w:val="Footer"/>
            <w:tabs>
              <w:tab w:val="clear" w:pos="8640"/>
              <w:tab w:val="right" w:pos="9360"/>
            </w:tabs>
            <w:jc w:val="right"/>
          </w:pPr>
        </w:p>
      </w:tc>
    </w:tr>
    <w:tr w:rsidR="00BD3323" w14:paraId="1F017902" w14:textId="77777777" w:rsidTr="009C1E9A">
      <w:trPr>
        <w:cantSplit/>
        <w:trHeight w:val="323"/>
      </w:trPr>
      <w:tc>
        <w:tcPr>
          <w:tcW w:w="0" w:type="pct"/>
          <w:gridSpan w:val="3"/>
        </w:tcPr>
        <w:p w14:paraId="77A688DA" w14:textId="77777777" w:rsidR="00EC379B" w:rsidRDefault="009F3B6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ADD187E" w14:textId="77777777" w:rsidR="00EC379B" w:rsidRDefault="00EC379B" w:rsidP="009C1E9A">
          <w:pPr>
            <w:pStyle w:val="Footer"/>
            <w:tabs>
              <w:tab w:val="clear" w:pos="8640"/>
              <w:tab w:val="right" w:pos="9360"/>
            </w:tabs>
            <w:jc w:val="center"/>
          </w:pPr>
        </w:p>
      </w:tc>
    </w:tr>
  </w:tbl>
  <w:p w14:paraId="168C166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1A9D"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3013" w14:textId="77777777" w:rsidR="00000000" w:rsidRDefault="009F3B60">
      <w:r>
        <w:separator/>
      </w:r>
    </w:p>
  </w:footnote>
  <w:footnote w:type="continuationSeparator" w:id="0">
    <w:p w14:paraId="28EBAA58" w14:textId="77777777" w:rsidR="00000000" w:rsidRDefault="009F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A58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95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B44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2662F"/>
    <w:multiLevelType w:val="hybridMultilevel"/>
    <w:tmpl w:val="B21A249E"/>
    <w:lvl w:ilvl="0" w:tplc="DDC21D8A">
      <w:start w:val="1"/>
      <w:numFmt w:val="bullet"/>
      <w:lvlText w:val=""/>
      <w:lvlJc w:val="left"/>
      <w:pPr>
        <w:tabs>
          <w:tab w:val="num" w:pos="720"/>
        </w:tabs>
        <w:ind w:left="720" w:hanging="360"/>
      </w:pPr>
      <w:rPr>
        <w:rFonts w:ascii="Symbol" w:hAnsi="Symbol" w:hint="default"/>
      </w:rPr>
    </w:lvl>
    <w:lvl w:ilvl="1" w:tplc="8CFE611E" w:tentative="1">
      <w:start w:val="1"/>
      <w:numFmt w:val="bullet"/>
      <w:lvlText w:val="o"/>
      <w:lvlJc w:val="left"/>
      <w:pPr>
        <w:ind w:left="1440" w:hanging="360"/>
      </w:pPr>
      <w:rPr>
        <w:rFonts w:ascii="Courier New" w:hAnsi="Courier New" w:cs="Courier New" w:hint="default"/>
      </w:rPr>
    </w:lvl>
    <w:lvl w:ilvl="2" w:tplc="410CEB80" w:tentative="1">
      <w:start w:val="1"/>
      <w:numFmt w:val="bullet"/>
      <w:lvlText w:val=""/>
      <w:lvlJc w:val="left"/>
      <w:pPr>
        <w:ind w:left="2160" w:hanging="360"/>
      </w:pPr>
      <w:rPr>
        <w:rFonts w:ascii="Wingdings" w:hAnsi="Wingdings" w:hint="default"/>
      </w:rPr>
    </w:lvl>
    <w:lvl w:ilvl="3" w:tplc="12C08D22" w:tentative="1">
      <w:start w:val="1"/>
      <w:numFmt w:val="bullet"/>
      <w:lvlText w:val=""/>
      <w:lvlJc w:val="left"/>
      <w:pPr>
        <w:ind w:left="2880" w:hanging="360"/>
      </w:pPr>
      <w:rPr>
        <w:rFonts w:ascii="Symbol" w:hAnsi="Symbol" w:hint="default"/>
      </w:rPr>
    </w:lvl>
    <w:lvl w:ilvl="4" w:tplc="CBC85CD8" w:tentative="1">
      <w:start w:val="1"/>
      <w:numFmt w:val="bullet"/>
      <w:lvlText w:val="o"/>
      <w:lvlJc w:val="left"/>
      <w:pPr>
        <w:ind w:left="3600" w:hanging="360"/>
      </w:pPr>
      <w:rPr>
        <w:rFonts w:ascii="Courier New" w:hAnsi="Courier New" w:cs="Courier New" w:hint="default"/>
      </w:rPr>
    </w:lvl>
    <w:lvl w:ilvl="5" w:tplc="5B645F88" w:tentative="1">
      <w:start w:val="1"/>
      <w:numFmt w:val="bullet"/>
      <w:lvlText w:val=""/>
      <w:lvlJc w:val="left"/>
      <w:pPr>
        <w:ind w:left="4320" w:hanging="360"/>
      </w:pPr>
      <w:rPr>
        <w:rFonts w:ascii="Wingdings" w:hAnsi="Wingdings" w:hint="default"/>
      </w:rPr>
    </w:lvl>
    <w:lvl w:ilvl="6" w:tplc="49B2A478" w:tentative="1">
      <w:start w:val="1"/>
      <w:numFmt w:val="bullet"/>
      <w:lvlText w:val=""/>
      <w:lvlJc w:val="left"/>
      <w:pPr>
        <w:ind w:left="5040" w:hanging="360"/>
      </w:pPr>
      <w:rPr>
        <w:rFonts w:ascii="Symbol" w:hAnsi="Symbol" w:hint="default"/>
      </w:rPr>
    </w:lvl>
    <w:lvl w:ilvl="7" w:tplc="2E12C764" w:tentative="1">
      <w:start w:val="1"/>
      <w:numFmt w:val="bullet"/>
      <w:lvlText w:val="o"/>
      <w:lvlJc w:val="left"/>
      <w:pPr>
        <w:ind w:left="5760" w:hanging="360"/>
      </w:pPr>
      <w:rPr>
        <w:rFonts w:ascii="Courier New" w:hAnsi="Courier New" w:cs="Courier New" w:hint="default"/>
      </w:rPr>
    </w:lvl>
    <w:lvl w:ilvl="8" w:tplc="DF22CDFC" w:tentative="1">
      <w:start w:val="1"/>
      <w:numFmt w:val="bullet"/>
      <w:lvlText w:val=""/>
      <w:lvlJc w:val="left"/>
      <w:pPr>
        <w:ind w:left="6480" w:hanging="360"/>
      </w:pPr>
      <w:rPr>
        <w:rFonts w:ascii="Wingdings" w:hAnsi="Wingdings" w:hint="default"/>
      </w:rPr>
    </w:lvl>
  </w:abstractNum>
  <w:abstractNum w:abstractNumId="1" w15:restartNumberingAfterBreak="0">
    <w:nsid w:val="63BC635E"/>
    <w:multiLevelType w:val="hybridMultilevel"/>
    <w:tmpl w:val="910C07C0"/>
    <w:lvl w:ilvl="0" w:tplc="4B08D596">
      <w:start w:val="1"/>
      <w:numFmt w:val="bullet"/>
      <w:lvlText w:val=""/>
      <w:lvlJc w:val="left"/>
      <w:pPr>
        <w:tabs>
          <w:tab w:val="num" w:pos="720"/>
        </w:tabs>
        <w:ind w:left="720" w:hanging="360"/>
      </w:pPr>
      <w:rPr>
        <w:rFonts w:ascii="Symbol" w:hAnsi="Symbol" w:hint="default"/>
      </w:rPr>
    </w:lvl>
    <w:lvl w:ilvl="1" w:tplc="66C61F36" w:tentative="1">
      <w:start w:val="1"/>
      <w:numFmt w:val="bullet"/>
      <w:lvlText w:val="o"/>
      <w:lvlJc w:val="left"/>
      <w:pPr>
        <w:ind w:left="1440" w:hanging="360"/>
      </w:pPr>
      <w:rPr>
        <w:rFonts w:ascii="Courier New" w:hAnsi="Courier New" w:cs="Courier New" w:hint="default"/>
      </w:rPr>
    </w:lvl>
    <w:lvl w:ilvl="2" w:tplc="B8FAF1F6" w:tentative="1">
      <w:start w:val="1"/>
      <w:numFmt w:val="bullet"/>
      <w:lvlText w:val=""/>
      <w:lvlJc w:val="left"/>
      <w:pPr>
        <w:ind w:left="2160" w:hanging="360"/>
      </w:pPr>
      <w:rPr>
        <w:rFonts w:ascii="Wingdings" w:hAnsi="Wingdings" w:hint="default"/>
      </w:rPr>
    </w:lvl>
    <w:lvl w:ilvl="3" w:tplc="25440A5A" w:tentative="1">
      <w:start w:val="1"/>
      <w:numFmt w:val="bullet"/>
      <w:lvlText w:val=""/>
      <w:lvlJc w:val="left"/>
      <w:pPr>
        <w:ind w:left="2880" w:hanging="360"/>
      </w:pPr>
      <w:rPr>
        <w:rFonts w:ascii="Symbol" w:hAnsi="Symbol" w:hint="default"/>
      </w:rPr>
    </w:lvl>
    <w:lvl w:ilvl="4" w:tplc="7220CCA4" w:tentative="1">
      <w:start w:val="1"/>
      <w:numFmt w:val="bullet"/>
      <w:lvlText w:val="o"/>
      <w:lvlJc w:val="left"/>
      <w:pPr>
        <w:ind w:left="3600" w:hanging="360"/>
      </w:pPr>
      <w:rPr>
        <w:rFonts w:ascii="Courier New" w:hAnsi="Courier New" w:cs="Courier New" w:hint="default"/>
      </w:rPr>
    </w:lvl>
    <w:lvl w:ilvl="5" w:tplc="3F88BD38" w:tentative="1">
      <w:start w:val="1"/>
      <w:numFmt w:val="bullet"/>
      <w:lvlText w:val=""/>
      <w:lvlJc w:val="left"/>
      <w:pPr>
        <w:ind w:left="4320" w:hanging="360"/>
      </w:pPr>
      <w:rPr>
        <w:rFonts w:ascii="Wingdings" w:hAnsi="Wingdings" w:hint="default"/>
      </w:rPr>
    </w:lvl>
    <w:lvl w:ilvl="6" w:tplc="A852D9F0" w:tentative="1">
      <w:start w:val="1"/>
      <w:numFmt w:val="bullet"/>
      <w:lvlText w:val=""/>
      <w:lvlJc w:val="left"/>
      <w:pPr>
        <w:ind w:left="5040" w:hanging="360"/>
      </w:pPr>
      <w:rPr>
        <w:rFonts w:ascii="Symbol" w:hAnsi="Symbol" w:hint="default"/>
      </w:rPr>
    </w:lvl>
    <w:lvl w:ilvl="7" w:tplc="6922A50C" w:tentative="1">
      <w:start w:val="1"/>
      <w:numFmt w:val="bullet"/>
      <w:lvlText w:val="o"/>
      <w:lvlJc w:val="left"/>
      <w:pPr>
        <w:ind w:left="5760" w:hanging="360"/>
      </w:pPr>
      <w:rPr>
        <w:rFonts w:ascii="Courier New" w:hAnsi="Courier New" w:cs="Courier New" w:hint="default"/>
      </w:rPr>
    </w:lvl>
    <w:lvl w:ilvl="8" w:tplc="363051C0" w:tentative="1">
      <w:start w:val="1"/>
      <w:numFmt w:val="bullet"/>
      <w:lvlText w:val=""/>
      <w:lvlJc w:val="left"/>
      <w:pPr>
        <w:ind w:left="6480" w:hanging="360"/>
      </w:pPr>
      <w:rPr>
        <w:rFonts w:ascii="Wingdings" w:hAnsi="Wingdings" w:hint="default"/>
      </w:rPr>
    </w:lvl>
  </w:abstractNum>
  <w:num w:numId="1" w16cid:durableId="1163467503">
    <w:abstractNumId w:val="0"/>
  </w:num>
  <w:num w:numId="2" w16cid:durableId="146624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0D"/>
    <w:rsid w:val="00000A70"/>
    <w:rsid w:val="00001D33"/>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0E4F"/>
    <w:rsid w:val="0003107A"/>
    <w:rsid w:val="00031C95"/>
    <w:rsid w:val="00032A93"/>
    <w:rsid w:val="000330D4"/>
    <w:rsid w:val="00034E9F"/>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660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53"/>
    <w:rsid w:val="00115EE9"/>
    <w:rsid w:val="001169F9"/>
    <w:rsid w:val="00120797"/>
    <w:rsid w:val="001218D2"/>
    <w:rsid w:val="0012371B"/>
    <w:rsid w:val="001242C0"/>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6C31"/>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78A"/>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516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766"/>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5F36"/>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E705C"/>
    <w:rsid w:val="003F012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8DC"/>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09CF"/>
    <w:rsid w:val="0051324D"/>
    <w:rsid w:val="00515466"/>
    <w:rsid w:val="005154F7"/>
    <w:rsid w:val="005159DE"/>
    <w:rsid w:val="005269CE"/>
    <w:rsid w:val="005304B2"/>
    <w:rsid w:val="005336BD"/>
    <w:rsid w:val="00534A49"/>
    <w:rsid w:val="005363BB"/>
    <w:rsid w:val="00541B98"/>
    <w:rsid w:val="00543374"/>
    <w:rsid w:val="00545548"/>
    <w:rsid w:val="00546923"/>
    <w:rsid w:val="00547CD6"/>
    <w:rsid w:val="00551CA6"/>
    <w:rsid w:val="00553113"/>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51AA"/>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2B67"/>
    <w:rsid w:val="00603B0F"/>
    <w:rsid w:val="006049F5"/>
    <w:rsid w:val="00605F7B"/>
    <w:rsid w:val="00607E64"/>
    <w:rsid w:val="006106E9"/>
    <w:rsid w:val="0061159E"/>
    <w:rsid w:val="00614633"/>
    <w:rsid w:val="00614BC8"/>
    <w:rsid w:val="006151FB"/>
    <w:rsid w:val="00617411"/>
    <w:rsid w:val="006249CB"/>
    <w:rsid w:val="006272DD"/>
    <w:rsid w:val="00630677"/>
    <w:rsid w:val="00630963"/>
    <w:rsid w:val="00631897"/>
    <w:rsid w:val="00632928"/>
    <w:rsid w:val="006330DA"/>
    <w:rsid w:val="00633262"/>
    <w:rsid w:val="00633460"/>
    <w:rsid w:val="00634ACE"/>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C5BDE"/>
    <w:rsid w:val="006C637E"/>
    <w:rsid w:val="006D3005"/>
    <w:rsid w:val="006D504F"/>
    <w:rsid w:val="006E0CAC"/>
    <w:rsid w:val="006E1CFB"/>
    <w:rsid w:val="006E1F94"/>
    <w:rsid w:val="006E26C1"/>
    <w:rsid w:val="006E30A8"/>
    <w:rsid w:val="006E45B0"/>
    <w:rsid w:val="006E5692"/>
    <w:rsid w:val="006F365D"/>
    <w:rsid w:val="006F4BB0"/>
    <w:rsid w:val="00701D57"/>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4AF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12DE"/>
    <w:rsid w:val="007B4FCA"/>
    <w:rsid w:val="007B7B85"/>
    <w:rsid w:val="007C462E"/>
    <w:rsid w:val="007C496B"/>
    <w:rsid w:val="007C6803"/>
    <w:rsid w:val="007D2892"/>
    <w:rsid w:val="007D2DCC"/>
    <w:rsid w:val="007D47E1"/>
    <w:rsid w:val="007D6898"/>
    <w:rsid w:val="007D7FCB"/>
    <w:rsid w:val="007D7FD4"/>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769F"/>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10D7"/>
    <w:rsid w:val="008F3053"/>
    <w:rsid w:val="008F3136"/>
    <w:rsid w:val="008F40DF"/>
    <w:rsid w:val="008F5E16"/>
    <w:rsid w:val="008F5EFC"/>
    <w:rsid w:val="00901670"/>
    <w:rsid w:val="00902212"/>
    <w:rsid w:val="009031D7"/>
    <w:rsid w:val="00903E0A"/>
    <w:rsid w:val="00904721"/>
    <w:rsid w:val="009073C0"/>
    <w:rsid w:val="00907780"/>
    <w:rsid w:val="00907EDD"/>
    <w:rsid w:val="009107AD"/>
    <w:rsid w:val="00915568"/>
    <w:rsid w:val="00917E0C"/>
    <w:rsid w:val="00920711"/>
    <w:rsid w:val="00921A1E"/>
    <w:rsid w:val="00924EA9"/>
    <w:rsid w:val="00925CE1"/>
    <w:rsid w:val="00925F5C"/>
    <w:rsid w:val="00927772"/>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6E76"/>
    <w:rsid w:val="00967126"/>
    <w:rsid w:val="00970EAE"/>
    <w:rsid w:val="00971627"/>
    <w:rsid w:val="0097200D"/>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52A"/>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3B60"/>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0A66"/>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213A"/>
    <w:rsid w:val="00AD304B"/>
    <w:rsid w:val="00AD4497"/>
    <w:rsid w:val="00AD7780"/>
    <w:rsid w:val="00AE2263"/>
    <w:rsid w:val="00AE248E"/>
    <w:rsid w:val="00AE270E"/>
    <w:rsid w:val="00AE2D12"/>
    <w:rsid w:val="00AE2F06"/>
    <w:rsid w:val="00AE4F1C"/>
    <w:rsid w:val="00AF1433"/>
    <w:rsid w:val="00AF48B4"/>
    <w:rsid w:val="00AF4923"/>
    <w:rsid w:val="00AF5324"/>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67FD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3323"/>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0274"/>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03C0"/>
    <w:rsid w:val="00C615D4"/>
    <w:rsid w:val="00C61B5D"/>
    <w:rsid w:val="00C61C0E"/>
    <w:rsid w:val="00C61C64"/>
    <w:rsid w:val="00C61CDA"/>
    <w:rsid w:val="00C70A38"/>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2D7"/>
    <w:rsid w:val="00CE08E8"/>
    <w:rsid w:val="00CE2133"/>
    <w:rsid w:val="00CE245D"/>
    <w:rsid w:val="00CE300F"/>
    <w:rsid w:val="00CE3582"/>
    <w:rsid w:val="00CE3795"/>
    <w:rsid w:val="00CE3E20"/>
    <w:rsid w:val="00CF4827"/>
    <w:rsid w:val="00CF4C69"/>
    <w:rsid w:val="00CF581C"/>
    <w:rsid w:val="00CF71E0"/>
    <w:rsid w:val="00D001B1"/>
    <w:rsid w:val="00D03176"/>
    <w:rsid w:val="00D058E8"/>
    <w:rsid w:val="00D060A8"/>
    <w:rsid w:val="00D06605"/>
    <w:rsid w:val="00D0720F"/>
    <w:rsid w:val="00D074E2"/>
    <w:rsid w:val="00D11B0B"/>
    <w:rsid w:val="00D12A3E"/>
    <w:rsid w:val="00D22160"/>
    <w:rsid w:val="00D22172"/>
    <w:rsid w:val="00D2301B"/>
    <w:rsid w:val="00D239EE"/>
    <w:rsid w:val="00D2715F"/>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187E"/>
    <w:rsid w:val="00DE34B2"/>
    <w:rsid w:val="00DE49DE"/>
    <w:rsid w:val="00DE586C"/>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4FFC"/>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4808"/>
    <w:rsid w:val="00E96852"/>
    <w:rsid w:val="00EA16AC"/>
    <w:rsid w:val="00EA385A"/>
    <w:rsid w:val="00EA3931"/>
    <w:rsid w:val="00EA4B22"/>
    <w:rsid w:val="00EA658E"/>
    <w:rsid w:val="00EA7A88"/>
    <w:rsid w:val="00EB27F2"/>
    <w:rsid w:val="00EB3928"/>
    <w:rsid w:val="00EB5373"/>
    <w:rsid w:val="00EC02A2"/>
    <w:rsid w:val="00EC379B"/>
    <w:rsid w:val="00EC37DF"/>
    <w:rsid w:val="00EC3A99"/>
    <w:rsid w:val="00EC41B1"/>
    <w:rsid w:val="00EC6939"/>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77A679-E938-44F9-AEB1-882FAD53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01D33"/>
    <w:rPr>
      <w:sz w:val="16"/>
      <w:szCs w:val="16"/>
    </w:rPr>
  </w:style>
  <w:style w:type="paragraph" w:styleId="CommentText">
    <w:name w:val="annotation text"/>
    <w:basedOn w:val="Normal"/>
    <w:link w:val="CommentTextChar"/>
    <w:semiHidden/>
    <w:unhideWhenUsed/>
    <w:rsid w:val="00001D33"/>
    <w:rPr>
      <w:sz w:val="20"/>
      <w:szCs w:val="20"/>
    </w:rPr>
  </w:style>
  <w:style w:type="character" w:customStyle="1" w:styleId="CommentTextChar">
    <w:name w:val="Comment Text Char"/>
    <w:basedOn w:val="DefaultParagraphFont"/>
    <w:link w:val="CommentText"/>
    <w:semiHidden/>
    <w:rsid w:val="00001D33"/>
  </w:style>
  <w:style w:type="paragraph" w:styleId="CommentSubject">
    <w:name w:val="annotation subject"/>
    <w:basedOn w:val="CommentText"/>
    <w:next w:val="CommentText"/>
    <w:link w:val="CommentSubjectChar"/>
    <w:semiHidden/>
    <w:unhideWhenUsed/>
    <w:rsid w:val="00001D33"/>
    <w:rPr>
      <w:b/>
      <w:bCs/>
    </w:rPr>
  </w:style>
  <w:style w:type="character" w:customStyle="1" w:styleId="CommentSubjectChar">
    <w:name w:val="Comment Subject Char"/>
    <w:basedOn w:val="CommentTextChar"/>
    <w:link w:val="CommentSubject"/>
    <w:semiHidden/>
    <w:rsid w:val="00001D33"/>
    <w:rPr>
      <w:b/>
      <w:bCs/>
    </w:rPr>
  </w:style>
  <w:style w:type="paragraph" w:styleId="Revision">
    <w:name w:val="Revision"/>
    <w:hidden/>
    <w:uiPriority w:val="99"/>
    <w:semiHidden/>
    <w:rsid w:val="003E705C"/>
    <w:rPr>
      <w:sz w:val="24"/>
      <w:szCs w:val="24"/>
    </w:rPr>
  </w:style>
  <w:style w:type="character" w:styleId="Hyperlink">
    <w:name w:val="Hyperlink"/>
    <w:basedOn w:val="DefaultParagraphFont"/>
    <w:uiPriority w:val="99"/>
    <w:unhideWhenUsed/>
    <w:rsid w:val="007D7FD4"/>
    <w:rPr>
      <w:color w:val="0000FF" w:themeColor="hyperlink"/>
      <w:u w:val="single"/>
    </w:rPr>
  </w:style>
  <w:style w:type="character" w:customStyle="1" w:styleId="UnresolvedMention1">
    <w:name w:val="Unresolved Mention1"/>
    <w:basedOn w:val="DefaultParagraphFont"/>
    <w:uiPriority w:val="99"/>
    <w:semiHidden/>
    <w:unhideWhenUsed/>
    <w:rsid w:val="0051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3931</Characters>
  <Application>Microsoft Office Word</Application>
  <DocSecurity>4</DocSecurity>
  <Lines>87</Lines>
  <Paragraphs>33</Paragraphs>
  <ScaleCrop>false</ScaleCrop>
  <HeadingPairs>
    <vt:vector size="2" baseType="variant">
      <vt:variant>
        <vt:lpstr>Title</vt:lpstr>
      </vt:variant>
      <vt:variant>
        <vt:i4>1</vt:i4>
      </vt:variant>
    </vt:vector>
  </HeadingPairs>
  <TitlesOfParts>
    <vt:vector size="1" baseType="lpstr">
      <vt:lpstr>BA - HB01972 (Committee Report (Substituted))</vt:lpstr>
    </vt:vector>
  </TitlesOfParts>
  <Company>State of Texas</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25915</dc:subject>
  <dc:creator>State of Texas</dc:creator>
  <dc:description>HB 1972 by Campos-(H)Youth Health &amp; Safety, Select (Substitute Document Number: 88R 22806)</dc:description>
  <cp:lastModifiedBy>Stacey Nicchio</cp:lastModifiedBy>
  <cp:revision>2</cp:revision>
  <cp:lastPrinted>2003-11-26T17:21:00Z</cp:lastPrinted>
  <dcterms:created xsi:type="dcterms:W3CDTF">2023-04-24T23:12:00Z</dcterms:created>
  <dcterms:modified xsi:type="dcterms:W3CDTF">2023-04-24T23:12:00Z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23.114.145</vt:lpwstr>
  </property>
</Properties>
</file>