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Dorazio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4306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study by the attorney general on the feasibility of linking debit card transactions to bullion in the Texas Bullion Depository.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DEFINITIONS.  In this Act: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"Bullion" has the meaning assigned by Section 2116.001, Government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"Depository"</w:t>
      </w:r>
      <w:r>
        <w:t xml:space="preserve"> </w:t>
      </w:r>
      <w:r>
        <w:t xml:space="preserve">means the Texas Bullion Depository established under Chapter 2116,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STUDY. </w:t>
      </w:r>
      <w:r>
        <w:t xml:space="preserve"> </w:t>
      </w:r>
      <w:r>
        <w:t xml:space="preserve">(a) </w:t>
      </w:r>
      <w:r>
        <w:t xml:space="preserve"> </w:t>
      </w:r>
      <w:r>
        <w:t xml:space="preserve">The attorney general shall conduct a study on the feasibility of a program that provides for debit cards to be able to be used in transactions linked to and accounted for by bullion in the depository.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conducting the study, the attorney general shall examine: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whether certain state and local taxes would apply to transactions made through the program;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how the state might protect participants in the program from federal attempts to tax the bullion as currency;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any other legal considerations.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attorney general shall solicit and accept input from the public in conducting the study.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</w:t>
      </w:r>
      <w:r>
        <w:t xml:space="preserve">)</w:t>
      </w:r>
      <w:r xml:space="preserve">
        <w:t> </w:t>
      </w:r>
      <w:r xml:space="preserve">
        <w:t> </w:t>
      </w:r>
      <w:r>
        <w:t xml:space="preserve">The attorney general may collaborate with the appropriate standing committees of the house of representatives and the senate in conducting the study.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REPORT.  Not later than May 31, 2024, the attorney general shall submit to the governor, the comptroller, and the speaker of the house of representatives a written report on the study required under this Act that includes any legislative recommendations based on the study.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EXPIRATION.  This Act expires June 1, 2024.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5</w:t>
      </w:r>
      <w:r>
        <w:t xml:space="preserve">.</w:t>
      </w:r>
      <w:r xml:space="preserve">
        <w:t> </w:t>
      </w:r>
      <w:r xml:space="preserve">
        <w:t> </w:t>
      </w:r>
      <w:r>
        <w:t xml:space="preserve">EFFECTIVE DATE.</w:t>
      </w:r>
      <w:r>
        <w:t xml:space="preserve"> </w:t>
      </w:r>
      <w:r>
        <w:t xml:space="preserve"> 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4306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